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color w:val="006400"/>
          <w:sz w:val="32"/>
          <w:szCs w:val="32"/>
        </w:rPr>
      </w:pP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Courier New"/>
          <w:b/>
          <w:color w:val="006400"/>
          <w:sz w:val="32"/>
          <w:szCs w:val="24"/>
        </w:rPr>
      </w:pPr>
      <w:r w:rsidRPr="003265D4">
        <w:rPr>
          <w:rFonts w:ascii="Helvetica" w:eastAsia="Times New Roman" w:hAnsi="Helvetica" w:cs="Helvetica"/>
          <w:b/>
          <w:color w:val="006400"/>
          <w:sz w:val="32"/>
          <w:szCs w:val="32"/>
        </w:rPr>
        <w:t>Associazione</w:t>
      </w:r>
      <w:r w:rsidRPr="003265D4">
        <w:rPr>
          <w:rFonts w:ascii="Helvetica" w:eastAsia="Times New Roman" w:hAnsi="Helvetica" w:cs="Courier New"/>
          <w:b/>
          <w:color w:val="006400"/>
          <w:sz w:val="32"/>
          <w:szCs w:val="24"/>
        </w:rPr>
        <w:t xml:space="preserve"> dei Notai dell’Emilia Romagna</w:t>
      </w: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Times New Roman" w:eastAsia="Times New Roman" w:hAnsi="Times New Roman" w:cs="Courier New"/>
          <w:sz w:val="32"/>
          <w:szCs w:val="24"/>
        </w:rPr>
      </w:pPr>
      <w:r w:rsidRPr="003265D4">
        <w:rPr>
          <w:rFonts w:ascii="Helvetica" w:eastAsia="Times New Roman" w:hAnsi="Helvetica" w:cs="Courier New"/>
          <w:b/>
          <w:color w:val="006400"/>
          <w:sz w:val="32"/>
          <w:szCs w:val="24"/>
        </w:rPr>
        <w:t>“Aldo dalla Rovere”</w:t>
      </w: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b/>
          <w:sz w:val="28"/>
          <w:szCs w:val="24"/>
        </w:rPr>
      </w:pP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b/>
          <w:sz w:val="28"/>
          <w:szCs w:val="24"/>
        </w:rPr>
      </w:pPr>
      <w:r w:rsidRPr="003265D4">
        <w:rPr>
          <w:rFonts w:ascii="Calibri" w:eastAsia="Times New Roman" w:hAnsi="Calibri" w:cs="Courier New"/>
          <w:b/>
          <w:sz w:val="28"/>
          <w:szCs w:val="24"/>
        </w:rPr>
        <w:t>1° Convegno di Primavera</w:t>
      </w: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sz w:val="28"/>
          <w:szCs w:val="24"/>
        </w:rPr>
      </w:pPr>
      <w:r w:rsidRPr="003265D4">
        <w:rPr>
          <w:rFonts w:ascii="Calibri" w:eastAsia="Times New Roman" w:hAnsi="Calibri" w:cs="Courier New"/>
          <w:sz w:val="28"/>
          <w:szCs w:val="24"/>
        </w:rPr>
        <w:t>13 maggio 2022</w:t>
      </w: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sz w:val="28"/>
          <w:szCs w:val="24"/>
        </w:rPr>
      </w:pP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sz w:val="28"/>
          <w:szCs w:val="24"/>
        </w:rPr>
      </w:pPr>
      <w:r w:rsidRPr="003265D4">
        <w:rPr>
          <w:rFonts w:ascii="Calibri" w:eastAsia="Times New Roman" w:hAnsi="Calibri" w:cs="Courier New"/>
          <w:sz w:val="28"/>
          <w:szCs w:val="24"/>
        </w:rPr>
        <w:t>Notaio Alessandro Panzera</w:t>
      </w: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sz w:val="28"/>
          <w:szCs w:val="24"/>
        </w:rPr>
      </w:pPr>
      <w:r w:rsidRPr="003265D4">
        <w:rPr>
          <w:rFonts w:ascii="Calibri" w:eastAsia="Times New Roman" w:hAnsi="Calibri" w:cs="Courier New"/>
          <w:sz w:val="28"/>
          <w:szCs w:val="24"/>
        </w:rPr>
        <w:t>(ore 17.20)</w:t>
      </w:r>
    </w:p>
    <w:p w:rsidR="003265D4" w:rsidRDefault="003265D4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</w:p>
    <w:p w:rsidR="00481A7E" w:rsidRDefault="00481A7E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</w:p>
    <w:p w:rsidR="00481A7E" w:rsidRDefault="00481A7E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</w:p>
    <w:p w:rsidR="00481A7E" w:rsidRPr="003265D4" w:rsidRDefault="00481A7E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</w:p>
    <w:p w:rsidR="003265D4" w:rsidRDefault="003265D4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  <w:r w:rsidRPr="003265D4">
        <w:rPr>
          <w:rFonts w:ascii="Calibri" w:eastAsia="Times New Roman" w:hAnsi="Calibri" w:cs="Courier New"/>
          <w:b/>
          <w:szCs w:val="24"/>
        </w:rPr>
        <w:t>Esame di un caso pratico: sorte dell'originale della procura speciale rilasciata in formato analogico e spedita in copia autentica digitale.</w:t>
      </w:r>
    </w:p>
    <w:p w:rsidR="00481A7E" w:rsidRPr="003265D4" w:rsidRDefault="00481A7E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b/>
          <w:szCs w:val="24"/>
        </w:rPr>
      </w:pPr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center"/>
        <w:rPr>
          <w:rFonts w:ascii="Calibri" w:eastAsia="Times New Roman" w:hAnsi="Calibri" w:cs="Courier New"/>
          <w:i/>
          <w:szCs w:val="24"/>
        </w:rPr>
      </w:pPr>
      <w:proofErr w:type="spellStart"/>
      <w:r w:rsidRPr="003265D4">
        <w:rPr>
          <w:rFonts w:ascii="Calibri" w:eastAsia="Times New Roman" w:hAnsi="Calibri" w:cs="Courier New"/>
          <w:i/>
          <w:szCs w:val="24"/>
        </w:rPr>
        <w:t>Abstract</w:t>
      </w:r>
      <w:proofErr w:type="spellEnd"/>
    </w:p>
    <w:p w:rsidR="003265D4" w:rsidRPr="003265D4" w:rsidRDefault="003265D4" w:rsidP="003265D4">
      <w:pPr>
        <w:autoSpaceDE w:val="0"/>
        <w:autoSpaceDN w:val="0"/>
        <w:adjustRightInd w:val="0"/>
        <w:spacing w:after="0" w:line="284" w:lineRule="atLeast"/>
        <w:jc w:val="both"/>
        <w:rPr>
          <w:rFonts w:ascii="Calibri" w:eastAsia="Times New Roman" w:hAnsi="Calibri" w:cs="Courier New"/>
          <w:szCs w:val="24"/>
        </w:rPr>
      </w:pPr>
      <w:r w:rsidRPr="003265D4">
        <w:rPr>
          <w:rFonts w:ascii="Calibri" w:eastAsia="Times New Roman" w:hAnsi="Calibri" w:cs="Courier New"/>
          <w:szCs w:val="24"/>
        </w:rPr>
        <w:t>L'intervento, previa una breve analisi delle tematiche giuridiche correlate al rilascio di copia autentica digitale di procura ricevuta od autenticata in formato analogico (normativa di riferimento e considerazioni di carattere fiscale), affronta la tematica concernente la sorte dell'originale, ovverosia se lo stesso possa (o debba) essere rilasciato alla Parte, conservato fiduciariamente o distrutto.</w:t>
      </w:r>
    </w:p>
    <w:p w:rsidR="00E25E0A" w:rsidRDefault="003265D4" w:rsidP="003265D4">
      <w:pPr>
        <w:spacing w:after="0" w:line="240" w:lineRule="auto"/>
        <w:jc w:val="both"/>
      </w:pPr>
      <w:r w:rsidRPr="003265D4">
        <w:rPr>
          <w:rFonts w:ascii="Calibri" w:eastAsia="Times New Roman" w:hAnsi="Calibri" w:cs="Courier New"/>
          <w:szCs w:val="24"/>
        </w:rPr>
        <w:t xml:space="preserve">Nell'ambito dell'inquadramento della fattispecie, la breve disamina preventiva riguarderà i temi della liceità del rilascio in assenza di tenuta a Raccolta, delle modalità di spedizione (tramite email tradizionale o </w:t>
      </w:r>
      <w:proofErr w:type="spellStart"/>
      <w:r w:rsidRPr="003265D4">
        <w:rPr>
          <w:rFonts w:ascii="Calibri" w:eastAsia="Times New Roman" w:hAnsi="Calibri" w:cs="Courier New"/>
          <w:szCs w:val="24"/>
        </w:rPr>
        <w:t>pec</w:t>
      </w:r>
      <w:proofErr w:type="spellEnd"/>
      <w:r w:rsidRPr="003265D4">
        <w:rPr>
          <w:rFonts w:ascii="Calibri" w:eastAsia="Times New Roman" w:hAnsi="Calibri" w:cs="Courier New"/>
          <w:szCs w:val="24"/>
        </w:rPr>
        <w:t>), di formazione del documento digitale e dell'assolvimento dell'imposta di Bollo.</w:t>
      </w:r>
    </w:p>
    <w:p w:rsidR="005855E9" w:rsidRDefault="005855E9" w:rsidP="005855E9">
      <w:pPr>
        <w:spacing w:after="0" w:line="240" w:lineRule="auto"/>
        <w:jc w:val="both"/>
      </w:pPr>
    </w:p>
    <w:p w:rsidR="005855E9" w:rsidRDefault="005855E9" w:rsidP="005855E9">
      <w:pPr>
        <w:spacing w:after="0" w:line="240" w:lineRule="auto"/>
        <w:jc w:val="both"/>
      </w:pPr>
    </w:p>
    <w:p w:rsidR="00E94A31" w:rsidRPr="00E94A31" w:rsidRDefault="00E94A31" w:rsidP="00E94A31">
      <w:pPr>
        <w:spacing w:after="0" w:line="240" w:lineRule="auto"/>
        <w:jc w:val="center"/>
        <w:rPr>
          <w:b/>
        </w:rPr>
      </w:pPr>
      <w:r w:rsidRPr="00E94A31">
        <w:rPr>
          <w:b/>
        </w:rPr>
        <w:t xml:space="preserve">Materiali </w:t>
      </w:r>
      <w:r w:rsidR="00F667AC">
        <w:rPr>
          <w:b/>
        </w:rPr>
        <w:t>sul tema della copia conforme di procura rilasciata</w:t>
      </w:r>
    </w:p>
    <w:p w:rsidR="005855E9" w:rsidRPr="0051252E" w:rsidRDefault="0051252E" w:rsidP="00CA398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51252E">
        <w:t>Quesito n. 8-2010/IG</w:t>
      </w:r>
      <w:r>
        <w:t xml:space="preserve"> del 18 novembre 2010</w:t>
      </w:r>
      <w:r w:rsidR="00B3017C">
        <w:t xml:space="preserve"> (Mauro Leo). </w:t>
      </w:r>
      <w:r w:rsidR="00B3017C" w:rsidRPr="00F62760">
        <w:rPr>
          <w:b/>
        </w:rPr>
        <w:t>Copia cartacea di documento informatico</w:t>
      </w:r>
      <w:r w:rsidR="00B3017C">
        <w:t xml:space="preserve"> (art. 57</w:t>
      </w:r>
      <w:r w:rsidR="00B3017C" w:rsidRPr="0051252E">
        <w:t xml:space="preserve"> bis</w:t>
      </w:r>
      <w:r w:rsidR="00B3017C">
        <w:t>,</w:t>
      </w:r>
      <w:r w:rsidR="00B3017C" w:rsidRPr="0051252E">
        <w:t xml:space="preserve"> comma 2</w:t>
      </w:r>
      <w:r w:rsidR="00B3017C">
        <w:t>, L.N.</w:t>
      </w:r>
      <w:r w:rsidR="00B3017C" w:rsidRPr="0051252E">
        <w:t>)</w:t>
      </w:r>
    </w:p>
    <w:p w:rsidR="005855E9" w:rsidRPr="00B3017C" w:rsidRDefault="00F62760" w:rsidP="00CA398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62760">
        <w:t>Quesito n. 11-2010/IG</w:t>
      </w:r>
      <w:r>
        <w:t xml:space="preserve"> del 28 dicembre 2010 (Commissione informatica). </w:t>
      </w:r>
      <w:r w:rsidRPr="00F62760">
        <w:rPr>
          <w:b/>
        </w:rPr>
        <w:t>Copia informatica di documento</w:t>
      </w:r>
      <w:r>
        <w:t>.</w:t>
      </w:r>
    </w:p>
    <w:p w:rsidR="00834374" w:rsidRDefault="00834374" w:rsidP="00CA398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834374">
        <w:t>Quesito n. 6-2012/DI</w:t>
      </w:r>
      <w:r>
        <w:t xml:space="preserve"> del 21 giugno 2012 (Maria Concetta Cignarella). </w:t>
      </w:r>
      <w:r w:rsidRPr="00834374">
        <w:rPr>
          <w:b/>
        </w:rPr>
        <w:t>Copia informatica di procura speciale non depositata</w:t>
      </w:r>
      <w:r>
        <w:t>.</w:t>
      </w:r>
    </w:p>
    <w:p w:rsidR="00F01AB9" w:rsidRPr="00B3017C" w:rsidRDefault="00A63716" w:rsidP="00CA398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Quesito n. 6-2014 del 17 settembre 2014 (Gea Arcella e Maria Concetta Cignarella). Allegazione degli originali e delle copie formati su diversi tipi di supporto (art. 57 bis L.N.). </w:t>
      </w:r>
      <w:r w:rsidRPr="00A63716">
        <w:rPr>
          <w:b/>
        </w:rPr>
        <w:t>Trattamento fiscale in ordine all’imposta di Bollo</w:t>
      </w:r>
      <w:r>
        <w:t>.</w:t>
      </w:r>
    </w:p>
    <w:p w:rsidR="00330CF7" w:rsidRDefault="00330CF7" w:rsidP="00330CF7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spellStart"/>
      <w:r>
        <w:t>Federnotizie</w:t>
      </w:r>
      <w:proofErr w:type="spellEnd"/>
      <w:r>
        <w:t xml:space="preserve"> del 23 ottobre 2018 (Ludovico Maria Capuano). </w:t>
      </w:r>
      <w:r w:rsidRPr="00284147">
        <w:rPr>
          <w:b/>
        </w:rPr>
        <w:t>SOS Procura digitale</w:t>
      </w:r>
      <w:r>
        <w:t>.</w:t>
      </w:r>
    </w:p>
    <w:p w:rsidR="004D211E" w:rsidRDefault="004D211E" w:rsidP="00CA398A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D211E">
        <w:t>Imposta di bollo su copie rilasciate per via telematica. La risposta a interpello n. 170/2022 dell'Agenzia delle Entrate</w:t>
      </w:r>
      <w:r>
        <w:t xml:space="preserve"> (6 aprile 2022).</w:t>
      </w:r>
    </w:p>
    <w:p w:rsidR="00284147" w:rsidRDefault="00284147" w:rsidP="005855E9">
      <w:pPr>
        <w:spacing w:after="0" w:line="240" w:lineRule="auto"/>
        <w:jc w:val="both"/>
      </w:pPr>
    </w:p>
    <w:p w:rsidR="004D211E" w:rsidRDefault="004D211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481A7E" w:rsidRDefault="00481A7E" w:rsidP="005855E9">
      <w:pPr>
        <w:spacing w:after="0" w:line="240" w:lineRule="auto"/>
        <w:jc w:val="both"/>
      </w:pPr>
    </w:p>
    <w:p w:rsidR="00592C55" w:rsidRPr="00A63716" w:rsidRDefault="00A63716" w:rsidP="00592C55">
      <w:pPr>
        <w:spacing w:after="0" w:line="240" w:lineRule="auto"/>
        <w:jc w:val="center"/>
        <w:rPr>
          <w:b/>
          <w:sz w:val="28"/>
          <w:szCs w:val="28"/>
        </w:rPr>
      </w:pPr>
      <w:r w:rsidRPr="00A63716">
        <w:rPr>
          <w:b/>
          <w:sz w:val="28"/>
          <w:szCs w:val="28"/>
        </w:rPr>
        <w:lastRenderedPageBreak/>
        <w:t>QUESITI DA PORSI</w:t>
      </w:r>
    </w:p>
    <w:p w:rsidR="00F667AC" w:rsidRPr="00592C55" w:rsidRDefault="00F667AC" w:rsidP="00592C55">
      <w:p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I quesiti posti all’attenzione degli interpreti sono affrontati nei materiali sopra citati, pertanto in questa sede appare più consono, per non travalicare i confini dell’intervento, semplicemente elencarli</w:t>
      </w:r>
      <w:r w:rsidR="00481A7E">
        <w:rPr>
          <w:rStyle w:val="Enfasicorsivo"/>
          <w:rFonts w:cstheme="minorHAnsi"/>
          <w:bCs/>
          <w:i w:val="0"/>
          <w:color w:val="000000"/>
        </w:rPr>
        <w:t>, dando una risposta sintetica</w:t>
      </w:r>
      <w:r>
        <w:rPr>
          <w:rStyle w:val="Enfasicorsivo"/>
          <w:rFonts w:cstheme="minorHAnsi"/>
          <w:bCs/>
          <w:i w:val="0"/>
          <w:color w:val="000000"/>
        </w:rPr>
        <w:t>:</w:t>
      </w:r>
    </w:p>
    <w:p w:rsidR="00F667AC" w:rsidRPr="00481A7E" w:rsidRDefault="00592C55" w:rsidP="00F667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F667AC">
        <w:rPr>
          <w:rStyle w:val="Enfasicorsivo"/>
          <w:rFonts w:cstheme="minorHAnsi"/>
          <w:bCs/>
          <w:i w:val="0"/>
          <w:color w:val="000000"/>
        </w:rPr>
        <w:t xml:space="preserve">liceità della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predisposizione di copia conforme digitale di una procura speciale rilasciata in formato cartaceo</w:t>
      </w:r>
      <w:r w:rsidR="00F667AC" w:rsidRPr="00F667AC">
        <w:rPr>
          <w:rStyle w:val="Enfasicorsivo"/>
          <w:rFonts w:cstheme="minorHAnsi"/>
          <w:bCs/>
          <w:i w:val="0"/>
          <w:color w:val="000000"/>
        </w:rPr>
        <w:t xml:space="preserve"> (analogico): la liceità non è più posta in discussione (argomentandosi sulla base </w:t>
      </w:r>
      <w:r w:rsidR="00F667AC" w:rsidRPr="00481A7E">
        <w:rPr>
          <w:rStyle w:val="Enfasicorsivo"/>
          <w:rFonts w:cstheme="minorHAnsi"/>
          <w:bCs/>
          <w:i w:val="0"/>
          <w:color w:val="000000"/>
        </w:rPr>
        <w:t xml:space="preserve">degli </w:t>
      </w:r>
      <w:r w:rsidR="00F01AB9" w:rsidRPr="00481A7E">
        <w:rPr>
          <w:rStyle w:val="Enfasicorsivo"/>
          <w:rFonts w:cstheme="minorHAnsi"/>
          <w:bCs/>
          <w:i w:val="0"/>
          <w:color w:val="000000"/>
        </w:rPr>
        <w:t>art</w:t>
      </w:r>
      <w:r w:rsidR="00F667AC" w:rsidRPr="00481A7E">
        <w:rPr>
          <w:rStyle w:val="Enfasicorsivo"/>
          <w:rFonts w:cstheme="minorHAnsi"/>
          <w:bCs/>
          <w:i w:val="0"/>
          <w:color w:val="000000"/>
        </w:rPr>
        <w:t>t</w:t>
      </w:r>
      <w:r w:rsidR="00F01AB9" w:rsidRPr="00481A7E">
        <w:rPr>
          <w:rStyle w:val="Enfasicorsivo"/>
          <w:rFonts w:cstheme="minorHAnsi"/>
          <w:bCs/>
          <w:i w:val="0"/>
          <w:color w:val="000000"/>
        </w:rPr>
        <w:t>. 73 della L.N.</w:t>
      </w:r>
      <w:r w:rsidR="00F667AC" w:rsidRPr="00481A7E">
        <w:rPr>
          <w:rStyle w:val="Enfasicorsivo"/>
          <w:rFonts w:cstheme="minorHAnsi"/>
          <w:bCs/>
          <w:i w:val="0"/>
          <w:color w:val="000000"/>
        </w:rPr>
        <w:t xml:space="preserve"> e </w:t>
      </w:r>
      <w:r w:rsidR="00F01AB9" w:rsidRPr="00481A7E">
        <w:rPr>
          <w:rFonts w:cstheme="minorHAnsi"/>
          <w:color w:val="000000"/>
        </w:rPr>
        <w:t>22, comma 1, del D.Lgs. n. 82 del 7 marzo 2005)</w:t>
      </w:r>
      <w:r w:rsidR="00F667AC" w:rsidRPr="00481A7E">
        <w:rPr>
          <w:rFonts w:cstheme="minorHAnsi"/>
          <w:color w:val="000000"/>
        </w:rPr>
        <w:t>;</w:t>
      </w:r>
    </w:p>
    <w:p w:rsidR="00F667AC" w:rsidRPr="00481A7E" w:rsidRDefault="00592C55" w:rsidP="00E40C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F667AC">
        <w:rPr>
          <w:rStyle w:val="Enfasicorsivo"/>
          <w:rFonts w:cstheme="minorHAnsi"/>
          <w:bCs/>
          <w:i w:val="0"/>
          <w:color w:val="000000"/>
        </w:rPr>
        <w:t xml:space="preserve">liceità della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predisposizione di copia cartacea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 (analogica)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dalla copia conforme digitale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 predisposta e spedita dal Notaio che ha ricevuto l’originale analogico</w:t>
      </w:r>
      <w:r w:rsidR="00F667AC" w:rsidRPr="00F667AC">
        <w:rPr>
          <w:rStyle w:val="Enfasicorsivo"/>
          <w:rFonts w:cstheme="minorHAnsi"/>
          <w:bCs/>
          <w:i w:val="0"/>
          <w:color w:val="000000"/>
        </w:rPr>
        <w:t>: la lic</w:t>
      </w:r>
      <w:r w:rsidR="00F667AC" w:rsidRPr="00481A7E">
        <w:rPr>
          <w:rStyle w:val="Enfasicorsivo"/>
          <w:rFonts w:cstheme="minorHAnsi"/>
          <w:bCs/>
          <w:i w:val="0"/>
          <w:color w:val="000000"/>
        </w:rPr>
        <w:t>eità non è più posta in discussione (</w:t>
      </w:r>
      <w:r w:rsidR="008F1D48" w:rsidRPr="00481A7E">
        <w:rPr>
          <w:rFonts w:cstheme="minorHAnsi"/>
          <w:color w:val="000000"/>
        </w:rPr>
        <w:t xml:space="preserve">art. 57 </w:t>
      </w:r>
      <w:r w:rsidR="008F1D48" w:rsidRPr="00481A7E">
        <w:rPr>
          <w:rFonts w:cstheme="minorHAnsi"/>
          <w:i/>
          <w:color w:val="000000"/>
        </w:rPr>
        <w:t>bis</w:t>
      </w:r>
      <w:r w:rsidR="008F1D48" w:rsidRPr="00481A7E">
        <w:rPr>
          <w:rFonts w:cstheme="minorHAnsi"/>
          <w:color w:val="000000"/>
        </w:rPr>
        <w:t xml:space="preserve"> della L.N.</w:t>
      </w:r>
      <w:r w:rsidR="00F667AC" w:rsidRPr="00481A7E">
        <w:rPr>
          <w:rFonts w:cstheme="minorHAnsi"/>
          <w:color w:val="000000"/>
        </w:rPr>
        <w:t>);</w:t>
      </w:r>
    </w:p>
    <w:p w:rsidR="00877256" w:rsidRPr="00F667AC" w:rsidRDefault="00877256" w:rsidP="00B448F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F667AC">
        <w:rPr>
          <w:rStyle w:val="Enfasicorsivo"/>
          <w:rFonts w:cstheme="minorHAnsi"/>
          <w:bCs/>
          <w:i w:val="0"/>
          <w:color w:val="000000"/>
        </w:rPr>
        <w:t xml:space="preserve">previsione di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modalità specifiche di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spedizione della copia conforme digitale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 al notaio che la deve allegare</w:t>
      </w:r>
      <w:r w:rsidR="00F667AC" w:rsidRPr="00F667AC">
        <w:rPr>
          <w:rStyle w:val="Enfasicorsivo"/>
          <w:rFonts w:cstheme="minorHAnsi"/>
          <w:bCs/>
          <w:i w:val="0"/>
          <w:color w:val="000000"/>
        </w:rPr>
        <w:t xml:space="preserve">: </w:t>
      </w:r>
      <w:r w:rsidR="00F667AC">
        <w:rPr>
          <w:rStyle w:val="Enfasicorsivo"/>
          <w:rFonts w:cstheme="minorHAnsi"/>
          <w:bCs/>
          <w:i w:val="0"/>
          <w:color w:val="000000"/>
        </w:rPr>
        <w:t>i</w:t>
      </w:r>
      <w:r w:rsidR="00592C55" w:rsidRPr="00F667AC">
        <w:rPr>
          <w:rFonts w:cstheme="minorHAnsi"/>
          <w:color w:val="000000"/>
        </w:rPr>
        <w:t xml:space="preserve">l mezzo di trasmissione della procura non </w:t>
      </w:r>
      <w:r w:rsidRPr="00F667AC">
        <w:rPr>
          <w:rFonts w:cstheme="minorHAnsi"/>
          <w:color w:val="000000"/>
        </w:rPr>
        <w:t>incide sul</w:t>
      </w:r>
      <w:r w:rsidR="00592C55" w:rsidRPr="00F667AC">
        <w:rPr>
          <w:rFonts w:cstheme="minorHAnsi"/>
          <w:color w:val="000000"/>
        </w:rPr>
        <w:t xml:space="preserve"> valore </w:t>
      </w:r>
      <w:r w:rsidRPr="00F667AC">
        <w:rPr>
          <w:rFonts w:cstheme="minorHAnsi"/>
          <w:color w:val="000000"/>
        </w:rPr>
        <w:t>probatorio della stessa in termini di paternità, pertanto è legittimo e valido l’invio della copia digitale tramite email tradizionale</w:t>
      </w:r>
      <w:r w:rsidR="00481A7E">
        <w:rPr>
          <w:rFonts w:cstheme="minorHAnsi"/>
          <w:color w:val="000000"/>
        </w:rPr>
        <w:t>;</w:t>
      </w:r>
    </w:p>
    <w:p w:rsidR="00086921" w:rsidRPr="00F667AC" w:rsidRDefault="00086921" w:rsidP="00B252B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F667AC">
        <w:rPr>
          <w:rStyle w:val="Enfasicorsivo"/>
          <w:rFonts w:cstheme="minorHAnsi"/>
          <w:bCs/>
          <w:i w:val="0"/>
          <w:color w:val="000000"/>
        </w:rPr>
        <w:t xml:space="preserve">predisposizione di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>copia conforme digitale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 di una procura speciale rilasciata in formato cartaceo (analogico) e </w:t>
      </w:r>
      <w:r w:rsidRPr="00F667AC">
        <w:rPr>
          <w:rStyle w:val="Enfasicorsivo"/>
          <w:rFonts w:cstheme="minorHAnsi"/>
          <w:b/>
          <w:bCs/>
          <w:i w:val="0"/>
          <w:color w:val="000000"/>
        </w:rPr>
        <w:t xml:space="preserve">messa a </w:t>
      </w:r>
      <w:r w:rsidRPr="00481A7E">
        <w:rPr>
          <w:rStyle w:val="Enfasicorsivo"/>
          <w:rFonts w:cstheme="minorHAnsi"/>
          <w:b/>
          <w:bCs/>
          <w:i w:val="0"/>
          <w:color w:val="000000"/>
        </w:rPr>
        <w:t>repertorio</w:t>
      </w:r>
      <w:r w:rsidR="00F667AC">
        <w:rPr>
          <w:rStyle w:val="Enfasicorsivo"/>
          <w:rFonts w:cstheme="minorHAnsi"/>
          <w:bCs/>
          <w:i w:val="0"/>
          <w:color w:val="000000"/>
        </w:rPr>
        <w:t>: n</w:t>
      </w:r>
      <w:r w:rsidRPr="00F667AC">
        <w:rPr>
          <w:rFonts w:cstheme="minorHAnsi"/>
          <w:color w:val="000000"/>
        </w:rPr>
        <w:t xml:space="preserve">on è necessaria </w:t>
      </w:r>
      <w:r w:rsidRPr="00481A7E">
        <w:rPr>
          <w:rFonts w:cstheme="minorHAnsi"/>
          <w:color w:val="000000"/>
        </w:rPr>
        <w:t xml:space="preserve">la messa a repertorio argomentandosi dalla </w:t>
      </w:r>
      <w:r w:rsidRPr="00481A7E">
        <w:rPr>
          <w:rFonts w:cstheme="minorHAnsi"/>
          <w:i/>
          <w:color w:val="000000"/>
        </w:rPr>
        <w:t>ratio</w:t>
      </w:r>
      <w:r w:rsidRPr="00481A7E">
        <w:rPr>
          <w:rFonts w:cstheme="minorHAnsi"/>
          <w:color w:val="000000"/>
        </w:rPr>
        <w:t xml:space="preserve"> dell’art. 57 </w:t>
      </w:r>
      <w:r w:rsidRPr="00481A7E">
        <w:rPr>
          <w:rFonts w:cstheme="minorHAnsi"/>
          <w:i/>
          <w:color w:val="000000"/>
        </w:rPr>
        <w:t>bis</w:t>
      </w:r>
      <w:r w:rsidRPr="00481A7E">
        <w:rPr>
          <w:rFonts w:cstheme="minorHAnsi"/>
          <w:color w:val="000000"/>
        </w:rPr>
        <w:t xml:space="preserve"> della L.N., il quale è stato dettato per consentire la migrazione da una forma all’altra finalizzato a rendere allegabile un documento accessorio</w:t>
      </w:r>
      <w:r w:rsidRPr="00F667AC">
        <w:rPr>
          <w:rFonts w:cstheme="minorHAnsi"/>
          <w:color w:val="000000"/>
        </w:rPr>
        <w:t xml:space="preserve"> avente una formazione “nativa” diversa da quella con cui dovrà </w:t>
      </w:r>
      <w:r w:rsidR="00481A7E">
        <w:rPr>
          <w:rFonts w:cstheme="minorHAnsi"/>
          <w:color w:val="000000"/>
        </w:rPr>
        <w:t>nascere il documento principale;</w:t>
      </w:r>
    </w:p>
    <w:p w:rsidR="00F667AC" w:rsidRDefault="00F667AC" w:rsidP="001D48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n</w:t>
      </w:r>
      <w:r w:rsidR="00A63716" w:rsidRPr="00F667AC">
        <w:rPr>
          <w:rStyle w:val="Enfasicorsivo"/>
          <w:rFonts w:cstheme="minorHAnsi"/>
          <w:bCs/>
          <w:i w:val="0"/>
          <w:color w:val="000000"/>
        </w:rPr>
        <w:t xml:space="preserve">on necessarietà della </w:t>
      </w:r>
      <w:r w:rsidR="00A63716" w:rsidRPr="00F667AC">
        <w:rPr>
          <w:rStyle w:val="Enfasicorsivo"/>
          <w:rFonts w:cstheme="minorHAnsi"/>
          <w:b/>
          <w:bCs/>
          <w:i w:val="0"/>
          <w:color w:val="000000"/>
        </w:rPr>
        <w:t xml:space="preserve">messa a Raccolta ai fini del rilascio </w:t>
      </w:r>
      <w:r w:rsidRPr="00F667AC">
        <w:rPr>
          <w:rStyle w:val="Enfasicorsivo"/>
          <w:rFonts w:cstheme="minorHAnsi"/>
          <w:bCs/>
          <w:i w:val="0"/>
          <w:color w:val="000000"/>
        </w:rPr>
        <w:t xml:space="preserve">delle copie digitali: si vedano </w:t>
      </w:r>
      <w:r w:rsidR="00A63716" w:rsidRPr="00F667AC">
        <w:rPr>
          <w:rFonts w:cstheme="minorHAnsi"/>
          <w:color w:val="000000"/>
        </w:rPr>
        <w:t>le argomentazioni desunte dagli artt. 73 L.N. e 22 del CAD</w:t>
      </w:r>
      <w:r>
        <w:rPr>
          <w:rFonts w:cstheme="minorHAnsi"/>
          <w:color w:val="000000"/>
        </w:rPr>
        <w:t>;</w:t>
      </w:r>
    </w:p>
    <w:p w:rsidR="00225B6F" w:rsidRDefault="00F667AC" w:rsidP="00A6371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a</w:t>
      </w:r>
      <w:r w:rsidR="00225B6F">
        <w:rPr>
          <w:rStyle w:val="Enfasicorsivo"/>
          <w:rFonts w:cstheme="minorHAnsi"/>
          <w:bCs/>
          <w:i w:val="0"/>
          <w:color w:val="000000"/>
        </w:rPr>
        <w:t xml:space="preserve">i fini della </w:t>
      </w:r>
      <w:r w:rsidR="00225B6F" w:rsidRPr="00225B6F">
        <w:rPr>
          <w:rStyle w:val="Enfasicorsivo"/>
          <w:rFonts w:cstheme="minorHAnsi"/>
          <w:b/>
          <w:bCs/>
          <w:i w:val="0"/>
          <w:color w:val="000000"/>
        </w:rPr>
        <w:t>predisposizione della copia conforme digitale</w:t>
      </w:r>
      <w:r w:rsidR="00225B6F">
        <w:rPr>
          <w:rStyle w:val="Enfasicorsivo"/>
          <w:rFonts w:cstheme="minorHAnsi"/>
          <w:bCs/>
          <w:i w:val="0"/>
          <w:color w:val="000000"/>
        </w:rPr>
        <w:t xml:space="preserve">, basta la </w:t>
      </w:r>
      <w:r w:rsidR="00225B6F" w:rsidRPr="00225B6F">
        <w:rPr>
          <w:rStyle w:val="Enfasicorsivo"/>
          <w:rFonts w:cstheme="minorHAnsi"/>
          <w:b/>
          <w:bCs/>
          <w:i w:val="0"/>
          <w:color w:val="000000"/>
        </w:rPr>
        <w:t>mera sottoscrizione</w:t>
      </w:r>
      <w:r w:rsidR="00225B6F">
        <w:rPr>
          <w:rStyle w:val="Enfasicorsivo"/>
          <w:rFonts w:cstheme="minorHAnsi"/>
          <w:bCs/>
          <w:i w:val="0"/>
          <w:color w:val="000000"/>
        </w:rPr>
        <w:t xml:space="preserve"> della stessa </w:t>
      </w:r>
      <w:r w:rsidR="00225B6F" w:rsidRPr="00225B6F">
        <w:rPr>
          <w:rStyle w:val="Enfasicorsivo"/>
          <w:rFonts w:cstheme="minorHAnsi"/>
          <w:b/>
          <w:bCs/>
          <w:i w:val="0"/>
          <w:color w:val="000000"/>
        </w:rPr>
        <w:t>con firma elettronica</w:t>
      </w:r>
      <w:r w:rsidR="00225B6F">
        <w:rPr>
          <w:rStyle w:val="Enfasicorsivo"/>
          <w:rFonts w:cstheme="minorHAnsi"/>
          <w:bCs/>
          <w:i w:val="0"/>
          <w:color w:val="000000"/>
        </w:rPr>
        <w:t xml:space="preserve"> o è </w:t>
      </w:r>
      <w:r w:rsidR="00225B6F" w:rsidRPr="00225B6F">
        <w:rPr>
          <w:rStyle w:val="Enfasicorsivo"/>
          <w:rFonts w:cstheme="minorHAnsi"/>
          <w:b/>
          <w:bCs/>
          <w:i w:val="0"/>
          <w:color w:val="000000"/>
        </w:rPr>
        <w:t>necessaria la certificazione di conformità</w:t>
      </w:r>
      <w:r w:rsidR="00225B6F">
        <w:rPr>
          <w:rStyle w:val="Enfasicorsivo"/>
          <w:rFonts w:cstheme="minorHAnsi"/>
          <w:bCs/>
          <w:i w:val="0"/>
          <w:color w:val="000000"/>
        </w:rPr>
        <w:t xml:space="preserve"> all’originale?</w:t>
      </w:r>
      <w:r w:rsidR="00481A7E">
        <w:rPr>
          <w:rStyle w:val="Enfasicorsivo"/>
          <w:rFonts w:cstheme="minorHAnsi"/>
          <w:bCs/>
          <w:i w:val="0"/>
          <w:color w:val="000000"/>
        </w:rPr>
        <w:t xml:space="preserve"> Serve la formula della certificazione;</w:t>
      </w:r>
    </w:p>
    <w:p w:rsidR="00A63716" w:rsidRPr="00481A7E" w:rsidRDefault="00481A7E" w:rsidP="00981E0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481A7E">
        <w:rPr>
          <w:rStyle w:val="Enfasicorsivo"/>
          <w:rFonts w:cstheme="minorHAnsi"/>
          <w:bCs/>
          <w:i w:val="0"/>
          <w:color w:val="000000"/>
        </w:rPr>
        <w:t>m</w:t>
      </w:r>
      <w:r w:rsidR="00592C55" w:rsidRPr="00481A7E">
        <w:rPr>
          <w:rStyle w:val="Enfasicorsivo"/>
          <w:rFonts w:cstheme="minorHAnsi"/>
          <w:bCs/>
          <w:i w:val="0"/>
          <w:color w:val="000000"/>
        </w:rPr>
        <w:t xml:space="preserve">odalità </w:t>
      </w:r>
      <w:r w:rsidR="00A63716" w:rsidRPr="00481A7E">
        <w:rPr>
          <w:rStyle w:val="Enfasicorsivo"/>
          <w:rFonts w:cstheme="minorHAnsi"/>
          <w:bCs/>
          <w:i w:val="0"/>
          <w:color w:val="000000"/>
        </w:rPr>
        <w:t xml:space="preserve">di </w:t>
      </w:r>
      <w:r w:rsidR="00A63716" w:rsidRPr="00481A7E">
        <w:rPr>
          <w:rStyle w:val="Enfasicorsivo"/>
          <w:rFonts w:cstheme="minorHAnsi"/>
          <w:b/>
          <w:bCs/>
          <w:i w:val="0"/>
          <w:color w:val="000000"/>
        </w:rPr>
        <w:t xml:space="preserve">assolvimento </w:t>
      </w:r>
      <w:r w:rsidR="00592C55" w:rsidRPr="00481A7E">
        <w:rPr>
          <w:rStyle w:val="Enfasicorsivo"/>
          <w:rFonts w:cstheme="minorHAnsi"/>
          <w:b/>
          <w:bCs/>
          <w:i w:val="0"/>
          <w:color w:val="000000"/>
        </w:rPr>
        <w:t>dell’imposta di bollo</w:t>
      </w:r>
      <w:r w:rsidR="00A63716" w:rsidRPr="00481A7E">
        <w:rPr>
          <w:rStyle w:val="Enfasicorsivo"/>
          <w:rFonts w:cstheme="minorHAnsi"/>
          <w:bCs/>
          <w:i w:val="0"/>
          <w:color w:val="000000"/>
        </w:rPr>
        <w:t xml:space="preserve"> sull’originale</w:t>
      </w:r>
      <w:r w:rsidRPr="00481A7E">
        <w:rPr>
          <w:rStyle w:val="Enfasicorsivo"/>
          <w:rFonts w:cstheme="minorHAnsi"/>
          <w:bCs/>
          <w:i w:val="0"/>
          <w:color w:val="000000"/>
        </w:rPr>
        <w:t xml:space="preserve">: </w:t>
      </w:r>
      <w:r>
        <w:rPr>
          <w:rStyle w:val="Enfasicorsivo"/>
          <w:rFonts w:cstheme="minorHAnsi"/>
          <w:bCs/>
          <w:i w:val="0"/>
          <w:color w:val="000000"/>
        </w:rPr>
        <w:t>l</w:t>
      </w:r>
      <w:r w:rsidR="00A63716" w:rsidRPr="00481A7E">
        <w:rPr>
          <w:rFonts w:cstheme="minorHAnsi"/>
          <w:color w:val="000000"/>
        </w:rPr>
        <w:t>e modalità operative di assolvimento dell’Imposta di Bollo sull’originale (</w:t>
      </w:r>
      <w:proofErr w:type="spellStart"/>
      <w:r w:rsidR="00A63716" w:rsidRPr="00481A7E">
        <w:rPr>
          <w:rFonts w:cstheme="minorHAnsi"/>
          <w:i/>
          <w:color w:val="000000"/>
        </w:rPr>
        <w:t>rectius</w:t>
      </w:r>
      <w:proofErr w:type="spellEnd"/>
      <w:r w:rsidR="00A63716" w:rsidRPr="00481A7E">
        <w:rPr>
          <w:rFonts w:cstheme="minorHAnsi"/>
          <w:color w:val="000000"/>
        </w:rPr>
        <w:t xml:space="preserve">, le modalità con le quali rendere palese ed immediatamente desumibile che l’assolvimento è avvenuto) sono, fondamentalmente, </w:t>
      </w:r>
      <w:r w:rsidR="008535DB" w:rsidRPr="00481A7E">
        <w:rPr>
          <w:rFonts w:cstheme="minorHAnsi"/>
          <w:color w:val="000000"/>
        </w:rPr>
        <w:t>quattro</w:t>
      </w:r>
      <w:r w:rsidR="00A63716" w:rsidRPr="00481A7E">
        <w:rPr>
          <w:rFonts w:cstheme="minorHAnsi"/>
          <w:color w:val="000000"/>
        </w:rPr>
        <w:t>:</w:t>
      </w:r>
    </w:p>
    <w:p w:rsidR="008535DB" w:rsidRPr="008535DB" w:rsidRDefault="008535DB" w:rsidP="008535D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8535DB">
        <w:rPr>
          <w:rFonts w:cstheme="minorHAnsi"/>
          <w:color w:val="000000"/>
        </w:rPr>
        <w:t>a</w:t>
      </w:r>
      <w:r w:rsidR="00592C55" w:rsidRPr="008535DB">
        <w:rPr>
          <w:rFonts w:cstheme="minorHAnsi"/>
          <w:color w:val="000000"/>
        </w:rPr>
        <w:t xml:space="preserve">pposizione del bollo sull’originale </w:t>
      </w:r>
      <w:r>
        <w:rPr>
          <w:rFonts w:cstheme="minorHAnsi"/>
          <w:color w:val="000000"/>
        </w:rPr>
        <w:t xml:space="preserve">della procura </w:t>
      </w:r>
      <w:r w:rsidR="00592C55" w:rsidRPr="008535DB">
        <w:rPr>
          <w:rFonts w:cstheme="minorHAnsi"/>
          <w:color w:val="000000"/>
        </w:rPr>
        <w:t xml:space="preserve">e </w:t>
      </w:r>
      <w:r>
        <w:rPr>
          <w:rFonts w:cstheme="minorHAnsi"/>
          <w:color w:val="000000"/>
        </w:rPr>
        <w:t xml:space="preserve">scansione della stessa ai fini della predisposizione della </w:t>
      </w:r>
      <w:r w:rsidR="00592C55" w:rsidRPr="008535DB">
        <w:rPr>
          <w:rFonts w:cstheme="minorHAnsi"/>
          <w:color w:val="000000"/>
        </w:rPr>
        <w:t>copia</w:t>
      </w:r>
      <w:r>
        <w:rPr>
          <w:rFonts w:cstheme="minorHAnsi"/>
          <w:color w:val="000000"/>
        </w:rPr>
        <w:t xml:space="preserve"> conforme digitale, in modo che si veda/no il/i contrassegno/i</w:t>
      </w:r>
      <w:r w:rsidR="00592C55" w:rsidRPr="008535DB">
        <w:rPr>
          <w:rFonts w:cstheme="minorHAnsi"/>
          <w:color w:val="000000"/>
        </w:rPr>
        <w:t>;</w:t>
      </w:r>
    </w:p>
    <w:p w:rsidR="008535DB" w:rsidRPr="008535DB" w:rsidRDefault="008535DB" w:rsidP="008535D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cstheme="minorHAnsi"/>
          <w:color w:val="000000"/>
        </w:rPr>
        <w:t>conservazione della/e Marca/che da Bollo</w:t>
      </w:r>
      <w:r w:rsidR="00592C55" w:rsidRPr="008535D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in modo che non venga/no utilizzata/e per altri documenti e indicazione degli estremi del/i contrassegno/i nell’attestazione di conformità;</w:t>
      </w:r>
    </w:p>
    <w:p w:rsidR="00A23F71" w:rsidRPr="00A23F71" w:rsidRDefault="008535DB" w:rsidP="00CA398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A23F71">
        <w:rPr>
          <w:rFonts w:cstheme="minorHAnsi"/>
          <w:color w:val="000000"/>
        </w:rPr>
        <w:t>apposizione del bollo sull’originale della procura, predisposizione di una sorta di matrice e indicazione degli estremi del/i contrassegno/i nell’attestazione di conformità o nel frontespizio del documento;</w:t>
      </w:r>
    </w:p>
    <w:p w:rsidR="00592C55" w:rsidRPr="00A23F71" w:rsidRDefault="00A23F71" w:rsidP="00CA398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rFonts w:cstheme="minorHAnsi"/>
          <w:color w:val="000000"/>
        </w:rPr>
        <w:t>u</w:t>
      </w:r>
      <w:r w:rsidR="00592C55" w:rsidRPr="00A23F71">
        <w:rPr>
          <w:rFonts w:cstheme="minorHAnsi"/>
          <w:color w:val="000000"/>
        </w:rPr>
        <w:t xml:space="preserve">tilizzo del Bollo </w:t>
      </w:r>
      <w:r>
        <w:rPr>
          <w:rFonts w:cstheme="minorHAnsi"/>
          <w:color w:val="000000"/>
        </w:rPr>
        <w:t>v</w:t>
      </w:r>
      <w:r w:rsidR="00592C55" w:rsidRPr="00A23F71">
        <w:rPr>
          <w:rFonts w:cstheme="minorHAnsi"/>
          <w:color w:val="000000"/>
        </w:rPr>
        <w:t>irtuale con l’indicazione degli estremi</w:t>
      </w:r>
      <w:r>
        <w:rPr>
          <w:rFonts w:cstheme="minorHAnsi"/>
          <w:color w:val="000000"/>
        </w:rPr>
        <w:t>.</w:t>
      </w:r>
    </w:p>
    <w:p w:rsidR="00592C55" w:rsidRDefault="00592C55" w:rsidP="005855E9">
      <w:pPr>
        <w:spacing w:after="0" w:line="240" w:lineRule="auto"/>
        <w:jc w:val="both"/>
      </w:pPr>
    </w:p>
    <w:p w:rsidR="00A12608" w:rsidRDefault="00A12608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BB3D1F" w:rsidRDefault="00BB3D1F" w:rsidP="00BB3D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SORTE DELL’ORIGINALE DELLA PROCURA ANALOGICA</w:t>
      </w:r>
    </w:p>
    <w:p w:rsidR="00BB3D1F" w:rsidRPr="00A63716" w:rsidRDefault="00BB3D1F" w:rsidP="00BB3D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SPEDITA IN COPIA CONFORME DIGITALE</w:t>
      </w:r>
    </w:p>
    <w:p w:rsidR="00D47521" w:rsidRDefault="00D47521" w:rsidP="00BB3D1F">
      <w:p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</w:p>
    <w:p w:rsidR="00BB3D1F" w:rsidRDefault="00BB3D1F" w:rsidP="00BB3D1F">
      <w:p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Una volta “smarcati” tutti i quesiti operativi di carattere giuridico e fiscale, in molti si domandano che cosa si debba poi fare in concreto</w:t>
      </w:r>
      <w:r w:rsidR="00CA398A">
        <w:rPr>
          <w:rStyle w:val="Enfasicorsivo"/>
          <w:rFonts w:cstheme="minorHAnsi"/>
          <w:bCs/>
          <w:i w:val="0"/>
          <w:color w:val="000000"/>
        </w:rPr>
        <w:t xml:space="preserve"> con il documento originale, laddove le fattispecie ipotizzabili sono fondamentalmente le seguenti:</w:t>
      </w:r>
    </w:p>
    <w:p w:rsidR="00CA398A" w:rsidRDefault="00CA398A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consegnare la procura alla Parte, senza nulla precisare;</w:t>
      </w:r>
    </w:p>
    <w:p w:rsidR="00CA398A" w:rsidRDefault="00CA398A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consegnare la procura alla Parte, invitandola a spedirla tramite servizio postale o corriere al notaio che stipulerà l’atto;</w:t>
      </w:r>
    </w:p>
    <w:p w:rsidR="00CA398A" w:rsidRDefault="00CA398A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consegnare la procura alla Parte, invitandola a conservarlo;</w:t>
      </w:r>
    </w:p>
    <w:p w:rsidR="00CA398A" w:rsidRDefault="00CA398A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 xml:space="preserve">spedire direttamente la procura al notaio che stipulerà l’atto </w:t>
      </w:r>
      <w:r w:rsidR="0058126B">
        <w:rPr>
          <w:rStyle w:val="Enfasicorsivo"/>
          <w:rFonts w:cstheme="minorHAnsi"/>
          <w:bCs/>
          <w:i w:val="0"/>
          <w:color w:val="000000"/>
        </w:rPr>
        <w:t>tramite servizio postale o corriere;</w:t>
      </w:r>
    </w:p>
    <w:p w:rsidR="0058126B" w:rsidRDefault="0058126B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conservarla fiduciariamente;</w:t>
      </w:r>
    </w:p>
    <w:p w:rsidR="0058126B" w:rsidRPr="00CA398A" w:rsidRDefault="0058126B" w:rsidP="00CA3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Style w:val="Enfasicorsivo"/>
          <w:rFonts w:cstheme="minorHAnsi"/>
          <w:bCs/>
          <w:i w:val="0"/>
          <w:color w:val="000000"/>
        </w:rPr>
      </w:pPr>
      <w:r>
        <w:rPr>
          <w:rStyle w:val="Enfasicorsivo"/>
          <w:rFonts w:cstheme="minorHAnsi"/>
          <w:bCs/>
          <w:i w:val="0"/>
          <w:color w:val="000000"/>
        </w:rPr>
        <w:t>distruggerla.</w:t>
      </w:r>
    </w:p>
    <w:p w:rsidR="00BB3D1F" w:rsidRDefault="00BB3D1F" w:rsidP="005855E9">
      <w:pPr>
        <w:spacing w:after="0" w:line="240" w:lineRule="auto"/>
        <w:jc w:val="both"/>
        <w:rPr>
          <w:rFonts w:cstheme="minorHAnsi"/>
        </w:rPr>
      </w:pPr>
    </w:p>
    <w:p w:rsidR="00BB3D1F" w:rsidRDefault="00B73F6C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Innanzitutto sgombriamo immediatamente il campo da ogni dubbio sul fatto che, </w:t>
      </w:r>
      <w:r w:rsidRPr="00D47521">
        <w:rPr>
          <w:rFonts w:cstheme="minorHAnsi"/>
          <w:u w:val="single"/>
        </w:rPr>
        <w:t>ad avviso di chi scrive</w:t>
      </w:r>
      <w:r>
        <w:rPr>
          <w:rFonts w:cstheme="minorHAnsi"/>
        </w:rPr>
        <w:t xml:space="preserve">, qualunque scelta che non comporti </w:t>
      </w:r>
      <w:r w:rsidRPr="00B73F6C">
        <w:rPr>
          <w:rFonts w:cstheme="minorHAnsi"/>
          <w:b/>
          <w:u w:val="single"/>
        </w:rPr>
        <w:t>la distruzione non è percorribile</w:t>
      </w:r>
      <w:r>
        <w:rPr>
          <w:rFonts w:cstheme="minorHAnsi"/>
        </w:rPr>
        <w:t>.</w:t>
      </w:r>
    </w:p>
    <w:p w:rsidR="006F304D" w:rsidRDefault="006F304D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Innanzitutto, perché secondo l’art. 490 del Codice Penale “</w:t>
      </w:r>
      <w:r w:rsidRPr="006F304D">
        <w:rPr>
          <w:rFonts w:cstheme="minorHAnsi"/>
          <w:i/>
        </w:rPr>
        <w:t xml:space="preserve">Chiunque, in tutto o in parte, </w:t>
      </w:r>
      <w:hyperlink r:id="rId7" w:tooltip="Dizionario Giuridico: Distruggere" w:history="1">
        <w:r w:rsidRPr="006F304D">
          <w:rPr>
            <w:rFonts w:cstheme="minorHAnsi"/>
            <w:i/>
          </w:rPr>
          <w:t>distrugge</w:t>
        </w:r>
      </w:hyperlink>
      <w:r w:rsidRPr="006F304D">
        <w:rPr>
          <w:rFonts w:cstheme="minorHAnsi"/>
          <w:i/>
        </w:rPr>
        <w:t xml:space="preserve">, </w:t>
      </w:r>
      <w:hyperlink r:id="rId8" w:tooltip="Dizionario Giuridico: Sopprimere" w:history="1">
        <w:r w:rsidRPr="006F304D">
          <w:rPr>
            <w:rFonts w:cstheme="minorHAnsi"/>
            <w:i/>
          </w:rPr>
          <w:t>sopprime</w:t>
        </w:r>
      </w:hyperlink>
      <w:r w:rsidRPr="006F304D">
        <w:rPr>
          <w:rFonts w:cstheme="minorHAnsi"/>
          <w:i/>
        </w:rPr>
        <w:t xml:space="preserve"> od </w:t>
      </w:r>
      <w:hyperlink r:id="rId9" w:tooltip="Dizionario Giuridico: Occultamento di documenti" w:history="1">
        <w:r w:rsidRPr="006F304D">
          <w:rPr>
            <w:rFonts w:cstheme="minorHAnsi"/>
            <w:i/>
          </w:rPr>
          <w:t>occulta</w:t>
        </w:r>
      </w:hyperlink>
      <w:r w:rsidRPr="006F304D">
        <w:rPr>
          <w:rFonts w:cstheme="minorHAnsi"/>
          <w:i/>
        </w:rPr>
        <w:t xml:space="preserve"> un atto pubblico vero, o, al fine di recare a sé o ad altri un vantaggio o di recare ad altri un danno, distrugge, sopprime od occulta un testamento olografo, una cambiale o un altro titolo di credito trasmissibile per girata o al portatore veri, soggiace rispettivamente alle pene stabilite negli articoli </w:t>
      </w:r>
      <w:hyperlink r:id="rId10" w:tooltip="Falsità materiale commessa dal pubblico ufficiale in atti pubblici" w:history="1">
        <w:r w:rsidRPr="006F304D">
          <w:rPr>
            <w:rFonts w:cstheme="minorHAnsi"/>
            <w:i/>
          </w:rPr>
          <w:t>476</w:t>
        </w:r>
      </w:hyperlink>
      <w:r w:rsidRPr="006F304D">
        <w:rPr>
          <w:rFonts w:cstheme="minorHAnsi"/>
          <w:i/>
        </w:rPr>
        <w:t xml:space="preserve">, </w:t>
      </w:r>
      <w:hyperlink r:id="rId11" w:tooltip="Falsità materiale commessa dal pubblico ufficiale in certificati o autorizzazioni amministrative" w:history="1">
        <w:r w:rsidRPr="006F304D">
          <w:rPr>
            <w:rFonts w:cstheme="minorHAnsi"/>
            <w:i/>
          </w:rPr>
          <w:t>477</w:t>
        </w:r>
      </w:hyperlink>
      <w:r w:rsidRPr="006F304D">
        <w:rPr>
          <w:rFonts w:cstheme="minorHAnsi"/>
          <w:i/>
        </w:rPr>
        <w:t xml:space="preserve"> e </w:t>
      </w:r>
      <w:hyperlink r:id="rId12" w:tooltip="Falsità materiale commessa dal privato" w:history="1">
        <w:r w:rsidRPr="006F304D">
          <w:rPr>
            <w:rFonts w:cstheme="minorHAnsi"/>
            <w:i/>
          </w:rPr>
          <w:t>482</w:t>
        </w:r>
      </w:hyperlink>
      <w:r w:rsidRPr="006F304D">
        <w:rPr>
          <w:rFonts w:cstheme="minorHAnsi"/>
          <w:i/>
        </w:rPr>
        <w:t>, secondo le distinzioni in essi contenute</w:t>
      </w:r>
      <w:r>
        <w:rPr>
          <w:rFonts w:cstheme="minorHAnsi"/>
        </w:rPr>
        <w:t>”</w:t>
      </w:r>
      <w:r w:rsidRPr="006F304D">
        <w:rPr>
          <w:rFonts w:cstheme="minorHAnsi"/>
        </w:rPr>
        <w:t>.</w:t>
      </w:r>
    </w:p>
    <w:p w:rsidR="006F304D" w:rsidRDefault="006F304D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i </w:t>
      </w:r>
      <w:r w:rsidR="00D47521">
        <w:rPr>
          <w:rFonts w:cstheme="minorHAnsi"/>
        </w:rPr>
        <w:t>“</w:t>
      </w:r>
      <w:r>
        <w:rPr>
          <w:rFonts w:cstheme="minorHAnsi"/>
        </w:rPr>
        <w:t>fini penalisti</w:t>
      </w:r>
      <w:r w:rsidR="00D47521">
        <w:rPr>
          <w:rFonts w:cstheme="minorHAnsi"/>
        </w:rPr>
        <w:t>”</w:t>
      </w:r>
      <w:r>
        <w:rPr>
          <w:rFonts w:cstheme="minorHAnsi"/>
        </w:rPr>
        <w:t xml:space="preserve"> che sicuramente affollano </w:t>
      </w:r>
      <w:r w:rsidR="00481A7E">
        <w:rPr>
          <w:rFonts w:cstheme="minorHAnsi"/>
        </w:rPr>
        <w:t>le nostre file</w:t>
      </w:r>
      <w:r>
        <w:rPr>
          <w:rFonts w:cstheme="minorHAnsi"/>
        </w:rPr>
        <w:t>, non mi metterei a fare sofismi sul fatto</w:t>
      </w:r>
      <w:r w:rsidR="00171377">
        <w:rPr>
          <w:rFonts w:cstheme="minorHAnsi"/>
        </w:rPr>
        <w:t xml:space="preserve"> che la distruzione fatta da noi avrebbe il mero </w:t>
      </w:r>
      <w:r w:rsidR="00D47521">
        <w:rPr>
          <w:rFonts w:cstheme="minorHAnsi"/>
        </w:rPr>
        <w:t>scopo</w:t>
      </w:r>
      <w:r w:rsidR="00171377">
        <w:rPr>
          <w:rFonts w:cstheme="minorHAnsi"/>
        </w:rPr>
        <w:t xml:space="preserve"> di impedire il riutilizzo fraudolento e/o di “liberarci” dall’onere di una custodia fiduciaria che peraltro la legge non ci richiede.</w:t>
      </w:r>
    </w:p>
    <w:p w:rsidR="00D47521" w:rsidRDefault="00D47521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 che quindi la nostra azione non integrerebbe la fattispecie di reato, mancando la finalità di recare a sé o ad altri un vantaggio (forse liberarsi da un onere di custodia lo è?) o di recare ad altri un danno.</w:t>
      </w:r>
    </w:p>
    <w:p w:rsidR="00C85B3B" w:rsidRDefault="00C85B3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Peraltro, dal tenore della norma, in realtà la fattispecie rilevante </w:t>
      </w:r>
      <w:r w:rsidRPr="00C85B3B">
        <w:rPr>
          <w:rFonts w:cstheme="minorHAnsi"/>
          <w:i/>
        </w:rPr>
        <w:t>tout court</w:t>
      </w:r>
      <w:r>
        <w:rPr>
          <w:rFonts w:cstheme="minorHAnsi"/>
        </w:rPr>
        <w:t xml:space="preserve"> è proprio quella che riguarda l’atto pubblico (la </w:t>
      </w:r>
      <w:r w:rsidR="00853D06">
        <w:rPr>
          <w:rFonts w:cstheme="minorHAnsi"/>
        </w:rPr>
        <w:t>cui</w:t>
      </w:r>
      <w:r>
        <w:rPr>
          <w:rFonts w:cstheme="minorHAnsi"/>
        </w:rPr>
        <w:t xml:space="preserve"> distruzione non necessita una motivazione specifica per essere punibile), laddove l’incidenza della motivazione riguarda il testamento o </w:t>
      </w:r>
      <w:r w:rsidR="00853D06">
        <w:rPr>
          <w:rFonts w:cstheme="minorHAnsi"/>
        </w:rPr>
        <w:t xml:space="preserve">i </w:t>
      </w:r>
      <w:r>
        <w:rPr>
          <w:rFonts w:cstheme="minorHAnsi"/>
        </w:rPr>
        <w:t>titoli di credito.</w:t>
      </w:r>
    </w:p>
    <w:p w:rsidR="0025405B" w:rsidRDefault="0025405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L’altro motivo per cui mi sentirei di escludere, almeno in termini di opportunità, la distruzione del documento, è che </w:t>
      </w:r>
      <w:r w:rsidRPr="0025405B">
        <w:rPr>
          <w:rFonts w:cstheme="minorHAnsi"/>
          <w:u w:val="single"/>
        </w:rPr>
        <w:t>in tal modo renderemmo impossibile una attività di collazione postuma della copia con l’originale, ove un domani sorgano contestazioni</w:t>
      </w:r>
      <w:r>
        <w:rPr>
          <w:rFonts w:cstheme="minorHAnsi"/>
        </w:rPr>
        <w:t>.</w:t>
      </w:r>
    </w:p>
    <w:p w:rsidR="0025405B" w:rsidRDefault="0025405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Vero è che si potrebbe obbiettare come in caso di rilascio alla Parte anche sul piano materiale (e non solo giuridico) del documento, la collazione potrebbe divenire impossibile perché da quest’ultima impedita o per il mero smarrimento dell’originale.</w:t>
      </w:r>
    </w:p>
    <w:p w:rsidR="0025405B" w:rsidRDefault="0025405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 almeno ciò non sarebbe determinato da una scelta del Notaio che, spossessandosi del documento, rimane sollevato dalla responsabilità sulla futura sorte dello stesso.</w:t>
      </w: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8D1798" w:rsidRDefault="008D1798" w:rsidP="005855E9">
      <w:pPr>
        <w:spacing w:after="0" w:line="240" w:lineRule="auto"/>
        <w:jc w:val="both"/>
        <w:rPr>
          <w:rFonts w:cstheme="minorHAnsi"/>
        </w:rPr>
      </w:pPr>
      <w:r w:rsidRPr="00D47521">
        <w:rPr>
          <w:rFonts w:cstheme="minorHAnsi"/>
          <w:u w:val="single"/>
        </w:rPr>
        <w:t xml:space="preserve">Per quanto concerne le </w:t>
      </w:r>
      <w:r w:rsidRPr="00481A7E">
        <w:rPr>
          <w:rFonts w:cstheme="minorHAnsi"/>
          <w:b/>
          <w:u w:val="single"/>
        </w:rPr>
        <w:t>altre ipotesi</w:t>
      </w:r>
      <w:r>
        <w:rPr>
          <w:rFonts w:cstheme="minorHAnsi"/>
        </w:rPr>
        <w:t xml:space="preserve">, fermo restando che ad avviso di chi vi parla </w:t>
      </w:r>
      <w:r w:rsidRPr="00D47521">
        <w:rPr>
          <w:rFonts w:cstheme="minorHAnsi"/>
          <w:u w:val="single"/>
        </w:rPr>
        <w:t xml:space="preserve">nessuna di esse </w:t>
      </w:r>
      <w:r w:rsidR="00E2354B" w:rsidRPr="00D47521">
        <w:rPr>
          <w:rFonts w:cstheme="minorHAnsi"/>
          <w:u w:val="single"/>
        </w:rPr>
        <w:t xml:space="preserve">può considerarsi </w:t>
      </w:r>
      <w:r w:rsidR="00D47521" w:rsidRPr="00D47521">
        <w:rPr>
          <w:rFonts w:cstheme="minorHAnsi"/>
          <w:u w:val="single"/>
        </w:rPr>
        <w:t>“</w:t>
      </w:r>
      <w:r w:rsidR="00E2354B" w:rsidRPr="00D47521">
        <w:rPr>
          <w:rFonts w:cstheme="minorHAnsi"/>
          <w:u w:val="single"/>
        </w:rPr>
        <w:t>preferibile</w:t>
      </w:r>
      <w:r w:rsidR="00D47521" w:rsidRPr="00D47521">
        <w:rPr>
          <w:rFonts w:cstheme="minorHAnsi"/>
          <w:u w:val="single"/>
        </w:rPr>
        <w:t>”</w:t>
      </w:r>
      <w:r w:rsidR="00E2354B" w:rsidRPr="00D47521">
        <w:rPr>
          <w:rFonts w:cstheme="minorHAnsi"/>
          <w:u w:val="single"/>
        </w:rPr>
        <w:t xml:space="preserve"> sulla base di ragionamenti fondati sul diritto positivo</w:t>
      </w:r>
      <w:r w:rsidR="00E2354B">
        <w:rPr>
          <w:rFonts w:cstheme="minorHAnsi"/>
        </w:rPr>
        <w:t>, la scelta a questo punto si basa su valutazioni di opportunità (e percorribilità in termini organizzativi interni) che dovrebbero dare un minimo di sollievo.</w:t>
      </w:r>
    </w:p>
    <w:p w:rsidR="00E2354B" w:rsidRDefault="00E2354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altre parole, </w:t>
      </w:r>
      <w:r w:rsidRPr="00D47521">
        <w:rPr>
          <w:rFonts w:cstheme="minorHAnsi"/>
          <w:b/>
          <w:u w:val="single"/>
        </w:rPr>
        <w:t>come si procede non si sbaglia</w:t>
      </w:r>
      <w:r>
        <w:rPr>
          <w:rFonts w:cstheme="minorHAnsi"/>
        </w:rPr>
        <w:t>.</w:t>
      </w:r>
    </w:p>
    <w:p w:rsidR="00481A7E" w:rsidRDefault="00481A7E" w:rsidP="005855E9">
      <w:pPr>
        <w:spacing w:after="0" w:line="240" w:lineRule="auto"/>
        <w:jc w:val="both"/>
        <w:rPr>
          <w:rFonts w:cstheme="minorHAnsi"/>
        </w:rPr>
      </w:pPr>
    </w:p>
    <w:p w:rsidR="00E2354B" w:rsidRDefault="00E2354B" w:rsidP="005855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Ciò detto, a questo punto dobbiamo interrogarci </w:t>
      </w:r>
      <w:r>
        <w:rPr>
          <w:rFonts w:cstheme="minorHAnsi"/>
          <w:i/>
        </w:rPr>
        <w:t>a contrario</w:t>
      </w:r>
      <w:r>
        <w:rPr>
          <w:rFonts w:cstheme="minorHAnsi"/>
        </w:rPr>
        <w:t xml:space="preserve">, domandandoci se abbiamo </w:t>
      </w:r>
      <w:r w:rsidR="00AC1794">
        <w:rPr>
          <w:rFonts w:cstheme="minorHAnsi"/>
        </w:rPr>
        <w:t xml:space="preserve">qualche elemento </w:t>
      </w:r>
      <w:r w:rsidR="006E6123">
        <w:rPr>
          <w:rFonts w:cstheme="minorHAnsi"/>
        </w:rPr>
        <w:t xml:space="preserve">di opportunità </w:t>
      </w:r>
      <w:r w:rsidR="00AC1794">
        <w:rPr>
          <w:rFonts w:cstheme="minorHAnsi"/>
        </w:rPr>
        <w:t>che ci deve muovere verso:</w:t>
      </w:r>
    </w:p>
    <w:p w:rsidR="00AC1794" w:rsidRDefault="00AC1794" w:rsidP="00AC179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Pr="006E6123">
        <w:rPr>
          <w:rFonts w:cstheme="minorHAnsi"/>
          <w:u w:val="single"/>
        </w:rPr>
        <w:t>custodia sul piano fiduciario</w:t>
      </w:r>
      <w:r>
        <w:rPr>
          <w:rFonts w:cstheme="minorHAnsi"/>
        </w:rPr>
        <w:t>;</w:t>
      </w:r>
    </w:p>
    <w:p w:rsidR="00AC1794" w:rsidRDefault="00AC1794" w:rsidP="00AC179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un’attività che </w:t>
      </w:r>
      <w:r w:rsidRPr="006E6123">
        <w:rPr>
          <w:rFonts w:cstheme="minorHAnsi"/>
          <w:u w:val="single"/>
        </w:rPr>
        <w:t xml:space="preserve">faccia “arrivare” l’originale al </w:t>
      </w:r>
      <w:r w:rsidR="006E6123" w:rsidRPr="006E6123">
        <w:rPr>
          <w:rFonts w:cstheme="minorHAnsi"/>
          <w:u w:val="single"/>
        </w:rPr>
        <w:t>notaio rogante</w:t>
      </w:r>
      <w:r w:rsidR="006E6123">
        <w:rPr>
          <w:rFonts w:cstheme="minorHAnsi"/>
        </w:rPr>
        <w:t xml:space="preserve"> (direttamente o invitando la Parte a fargliela pervenire);</w:t>
      </w:r>
    </w:p>
    <w:p w:rsidR="006E6123" w:rsidRPr="00AC1794" w:rsidRDefault="006E6123" w:rsidP="00AC179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mera consegna dell’originale alla Parte.</w:t>
      </w:r>
    </w:p>
    <w:p w:rsidR="00AC1794" w:rsidRDefault="00AC1794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Sul piano fiduciario </w:t>
      </w:r>
      <w:r w:rsidRPr="006E6123">
        <w:rPr>
          <w:rFonts w:cstheme="minorHAnsi"/>
          <w:b/>
          <w:u w:val="single"/>
        </w:rPr>
        <w:t xml:space="preserve">nessun obbligo </w:t>
      </w:r>
      <w:r w:rsidR="004B5727" w:rsidRPr="006E6123">
        <w:rPr>
          <w:rFonts w:cstheme="minorHAnsi"/>
          <w:b/>
          <w:u w:val="single"/>
        </w:rPr>
        <w:t xml:space="preserve">di custodia </w:t>
      </w:r>
      <w:r w:rsidRPr="006E6123">
        <w:rPr>
          <w:rFonts w:cstheme="minorHAnsi"/>
          <w:b/>
          <w:u w:val="single"/>
        </w:rPr>
        <w:t>può esserci posto</w:t>
      </w:r>
      <w:r w:rsidR="00853D06">
        <w:rPr>
          <w:rFonts w:cstheme="minorHAnsi"/>
        </w:rPr>
        <w:t xml:space="preserve">, neanche sotto il profilo </w:t>
      </w:r>
      <w:r>
        <w:rPr>
          <w:rFonts w:cstheme="minorHAnsi"/>
        </w:rPr>
        <w:t xml:space="preserve">della diligenza professionale, laddove la tenuta a raccolta – che integra la conservazione formale – deve essere richiesta </w:t>
      </w:r>
      <w:r>
        <w:rPr>
          <w:rFonts w:cstheme="minorHAnsi"/>
        </w:rPr>
        <w:lastRenderedPageBreak/>
        <w:t>espressamente, laddove non può certo presumersi, pensando al tenore letterale dell’art. 72, comma 3, della L.N. (“</w:t>
      </w:r>
      <w:r w:rsidRPr="00AC1794">
        <w:rPr>
          <w:rFonts w:cstheme="minorHAnsi"/>
          <w:i/>
        </w:rPr>
        <w:t>Le scritture private, autenticate dal notaro, verranno, salvo contrario desiderio delle parti e salvo per quelle soggette a pubblicità immobiliare o commerciale, restituite alle medesime. In ogni caso però debbono essere prima, a cura del notaro, registrate a termini delle leggi sulle tasse di registro</w:t>
      </w:r>
      <w:r>
        <w:rPr>
          <w:rFonts w:cstheme="minorHAnsi"/>
        </w:rPr>
        <w:t>”)</w:t>
      </w:r>
      <w:r w:rsidR="004B5727">
        <w:rPr>
          <w:rFonts w:cstheme="minorHAnsi"/>
        </w:rPr>
        <w:t>.</w:t>
      </w:r>
    </w:p>
    <w:p w:rsidR="00853D06" w:rsidRDefault="00853D06" w:rsidP="00AC1794">
      <w:pPr>
        <w:spacing w:after="0" w:line="240" w:lineRule="auto"/>
        <w:jc w:val="both"/>
        <w:rPr>
          <w:rFonts w:cstheme="minorHAnsi"/>
        </w:rPr>
      </w:pPr>
    </w:p>
    <w:p w:rsidR="004B5727" w:rsidRDefault="004B5727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l’</w:t>
      </w:r>
      <w:r w:rsidRPr="0012739B">
        <w:rPr>
          <w:rFonts w:cstheme="minorHAnsi"/>
          <w:u w:val="single"/>
        </w:rPr>
        <w:t xml:space="preserve">ipotesi di </w:t>
      </w:r>
      <w:r w:rsidRPr="006E6123">
        <w:rPr>
          <w:rFonts w:cstheme="minorHAnsi"/>
          <w:b/>
          <w:u w:val="single"/>
        </w:rPr>
        <w:t>far pervenire la copia al notaio rogante</w:t>
      </w:r>
      <w:r w:rsidRPr="0012739B">
        <w:rPr>
          <w:rFonts w:cstheme="minorHAnsi"/>
          <w:u w:val="single"/>
        </w:rPr>
        <w:t xml:space="preserve"> l’atto principale</w:t>
      </w:r>
      <w:r>
        <w:rPr>
          <w:rFonts w:cstheme="minorHAnsi"/>
        </w:rPr>
        <w:t xml:space="preserve">, ritengo che ciò </w:t>
      </w:r>
      <w:r w:rsidRPr="0012739B">
        <w:rPr>
          <w:rFonts w:cstheme="minorHAnsi"/>
          <w:u w:val="single"/>
        </w:rPr>
        <w:t>costituisca la fattispecie meno “sensata” sul piano logico</w:t>
      </w:r>
      <w:r>
        <w:rPr>
          <w:rFonts w:cstheme="minorHAnsi"/>
        </w:rPr>
        <w:t>, laddove:</w:t>
      </w:r>
    </w:p>
    <w:p w:rsidR="004B5727" w:rsidRDefault="004B5727" w:rsidP="004B572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4B5727">
        <w:rPr>
          <w:rFonts w:cstheme="minorHAnsi"/>
        </w:rPr>
        <w:t>qualora la spedizione della copia conforme digitale sia stata dettata dall’urgenza dell’atto</w:t>
      </w:r>
      <w:r>
        <w:rPr>
          <w:rFonts w:cstheme="minorHAnsi"/>
        </w:rPr>
        <w:t xml:space="preserve">, il collega avrà utilizzato la copia digitale, quindi </w:t>
      </w:r>
      <w:r w:rsidRPr="006E6123">
        <w:rPr>
          <w:rFonts w:cstheme="minorHAnsi"/>
          <w:u w:val="single"/>
        </w:rPr>
        <w:t>l’arrivo dell’originale darebbe il solo valore aggiunto di una possibilità di collazione</w:t>
      </w:r>
      <w:r>
        <w:rPr>
          <w:rFonts w:cstheme="minorHAnsi"/>
        </w:rPr>
        <w:t xml:space="preserve"> da parte di quest’ultimo: tale esigenza, oltre ad essere un po’ curiosa (se non dettata dalla scarsa dimestichezza con tale prassi operativa), potrebbe considerarsi </w:t>
      </w:r>
      <w:r w:rsidR="00D47521">
        <w:rPr>
          <w:rFonts w:cstheme="minorHAnsi"/>
        </w:rPr>
        <w:t>“</w:t>
      </w:r>
      <w:r>
        <w:rPr>
          <w:rFonts w:cstheme="minorHAnsi"/>
        </w:rPr>
        <w:t>inelegante</w:t>
      </w:r>
      <w:r w:rsidR="00D47521">
        <w:rPr>
          <w:rFonts w:cstheme="minorHAnsi"/>
        </w:rPr>
        <w:t>”, visto che ne abbiamo attestato la conformità all’originale</w:t>
      </w:r>
      <w:r>
        <w:rPr>
          <w:rFonts w:cstheme="minorHAnsi"/>
        </w:rPr>
        <w:t>;</w:t>
      </w:r>
    </w:p>
    <w:p w:rsidR="004B5727" w:rsidRPr="004B5727" w:rsidRDefault="004B5727" w:rsidP="004B572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F82003">
        <w:rPr>
          <w:rFonts w:cstheme="minorHAnsi"/>
        </w:rPr>
        <w:t xml:space="preserve">qualora la spedizione della copia digitale </w:t>
      </w:r>
      <w:r w:rsidR="006E6123" w:rsidRPr="00F82003">
        <w:rPr>
          <w:rFonts w:cstheme="minorHAnsi"/>
        </w:rPr>
        <w:t>sia stata</w:t>
      </w:r>
      <w:r w:rsidRPr="00F82003">
        <w:rPr>
          <w:rFonts w:cstheme="minorHAnsi"/>
        </w:rPr>
        <w:t xml:space="preserve"> fatta “per quanto occorrer potesse”, ossia non per ragioni di urgenza, risparmio di costi di spedizione od</w:t>
      </w:r>
      <w:r>
        <w:rPr>
          <w:rFonts w:cstheme="minorHAnsi"/>
        </w:rPr>
        <w:t xml:space="preserve"> altro, allora riterrei più consono fare copia fotostatica, aspettare che la procura arrivi e, in caso di problemi su tempistiche o smarrimenti</w:t>
      </w:r>
      <w:r w:rsidR="00D47521">
        <w:rPr>
          <w:rFonts w:cstheme="minorHAnsi"/>
        </w:rPr>
        <w:t xml:space="preserve"> del servizio postale</w:t>
      </w:r>
      <w:r>
        <w:rPr>
          <w:rFonts w:cstheme="minorHAnsi"/>
        </w:rPr>
        <w:t xml:space="preserve">, a quel punto (e solo a quel punto) predisporre copia digitale: altrimenti si vanno a “sbugiardare” tutti i </w:t>
      </w:r>
      <w:r w:rsidR="00D47521">
        <w:rPr>
          <w:rFonts w:cstheme="minorHAnsi"/>
        </w:rPr>
        <w:t>vari</w:t>
      </w:r>
      <w:r>
        <w:rPr>
          <w:rFonts w:cstheme="minorHAnsi"/>
        </w:rPr>
        <w:t xml:space="preserve"> ragionamenti sulle copie </w:t>
      </w:r>
      <w:proofErr w:type="spellStart"/>
      <w:r>
        <w:rPr>
          <w:rFonts w:cstheme="minorHAnsi"/>
        </w:rPr>
        <w:t>mutaforma</w:t>
      </w:r>
      <w:proofErr w:type="spellEnd"/>
      <w:r>
        <w:rPr>
          <w:rFonts w:cstheme="minorHAnsi"/>
        </w:rPr>
        <w:t xml:space="preserve"> e sull’esenzione da Bollo argomentandosi </w:t>
      </w:r>
      <w:r w:rsidR="00D47521">
        <w:rPr>
          <w:rFonts w:cstheme="minorHAnsi"/>
        </w:rPr>
        <w:t xml:space="preserve">sulla base delle finalità (il passaggio da un supporto all’altro) sottese alla </w:t>
      </w:r>
      <w:r w:rsidR="00D47521" w:rsidRPr="00D47521">
        <w:rPr>
          <w:rFonts w:cstheme="minorHAnsi"/>
          <w:i/>
        </w:rPr>
        <w:t>ratio</w:t>
      </w:r>
      <w:r w:rsidR="00D47521">
        <w:rPr>
          <w:rFonts w:cstheme="minorHAnsi"/>
        </w:rPr>
        <w:t xml:space="preserve"> dell’</w:t>
      </w:r>
      <w:r>
        <w:rPr>
          <w:rFonts w:cstheme="minorHAnsi"/>
        </w:rPr>
        <w:t xml:space="preserve">art. 57 </w:t>
      </w:r>
      <w:r w:rsidRPr="00D47521">
        <w:rPr>
          <w:rFonts w:cstheme="minorHAnsi"/>
          <w:i/>
        </w:rPr>
        <w:t>bis</w:t>
      </w:r>
      <w:r>
        <w:rPr>
          <w:rFonts w:cstheme="minorHAnsi"/>
        </w:rPr>
        <w:t xml:space="preserve"> L.N.</w:t>
      </w:r>
    </w:p>
    <w:p w:rsidR="00481A7E" w:rsidRDefault="00481A7E" w:rsidP="00AC1794">
      <w:pPr>
        <w:spacing w:after="0" w:line="240" w:lineRule="auto"/>
        <w:jc w:val="both"/>
        <w:rPr>
          <w:rFonts w:cstheme="minorHAnsi"/>
        </w:rPr>
      </w:pPr>
    </w:p>
    <w:p w:rsidR="004B5727" w:rsidRDefault="00F82003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L’ipotesi della </w:t>
      </w:r>
      <w:r w:rsidRPr="00F82003">
        <w:rPr>
          <w:rFonts w:cstheme="minorHAnsi"/>
          <w:b/>
          <w:u w:val="single"/>
        </w:rPr>
        <w:t>consegna dell’originale alla Parte</w:t>
      </w:r>
      <w:r>
        <w:rPr>
          <w:rFonts w:cstheme="minorHAnsi"/>
        </w:rPr>
        <w:t xml:space="preserve"> (caldeggiare l’invio al notaio rogante riterrei che lasci il tempo che trova) </w:t>
      </w:r>
      <w:r w:rsidRPr="00F82003">
        <w:rPr>
          <w:rFonts w:cstheme="minorHAnsi"/>
          <w:u w:val="single"/>
        </w:rPr>
        <w:t>desta a molti perplessità perché consentirebbe la circolazione di più documenti “spendibili” per il compimento dell’atto</w:t>
      </w:r>
      <w:r>
        <w:rPr>
          <w:rFonts w:cstheme="minorHAnsi"/>
        </w:rPr>
        <w:t>.</w:t>
      </w:r>
    </w:p>
    <w:p w:rsidR="00F82003" w:rsidRDefault="00F82003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Ciò detto, </w:t>
      </w:r>
      <w:r w:rsidRPr="00F82003">
        <w:rPr>
          <w:rFonts w:cstheme="minorHAnsi"/>
          <w:u w:val="single"/>
        </w:rPr>
        <w:t>non può certo desumersi un divieto in senso tecnico</w:t>
      </w:r>
      <w:r>
        <w:rPr>
          <w:rFonts w:cstheme="minorHAnsi"/>
        </w:rPr>
        <w:t>, laddove anche una procura speciale, come più volte ricordato, può essere rilasciata in più originali a richiesta della Parte (cosa integrata dalla richiesta della spedizione in copia conforme digitale).</w:t>
      </w:r>
    </w:p>
    <w:p w:rsidR="00F82003" w:rsidRDefault="00F82003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giunta, come ribadito dai vari contributi sull’argomento, si ricorda altresì che il problema rimane nell’uso fraudolento da parte del procuratore e non </w:t>
      </w:r>
      <w:r w:rsidR="00853D06">
        <w:rPr>
          <w:rFonts w:cstheme="minorHAnsi"/>
        </w:rPr>
        <w:t xml:space="preserve">può </w:t>
      </w:r>
      <w:r>
        <w:rPr>
          <w:rFonts w:cstheme="minorHAnsi"/>
        </w:rPr>
        <w:t>certo coinvolgere il notaio in termini di diligenza professionale.</w:t>
      </w:r>
    </w:p>
    <w:p w:rsidR="00F82003" w:rsidRDefault="00F82003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 avviso di chi scrive, la consegna alla Parte non deve creare imbarazzi, anche perché </w:t>
      </w:r>
      <w:r w:rsidRPr="00F82003">
        <w:rPr>
          <w:rFonts w:cstheme="minorHAnsi"/>
          <w:u w:val="single"/>
        </w:rPr>
        <w:t>gli effetti giuridici di un eventuale uso scorretto di documenti identici coinvolg</w:t>
      </w:r>
      <w:r w:rsidR="00853D06">
        <w:rPr>
          <w:rFonts w:cstheme="minorHAnsi"/>
          <w:u w:val="single"/>
        </w:rPr>
        <w:t>ono</w:t>
      </w:r>
      <w:r w:rsidRPr="00F82003">
        <w:rPr>
          <w:rFonts w:cstheme="minorHAnsi"/>
          <w:u w:val="single"/>
        </w:rPr>
        <w:t xml:space="preserve"> proprio</w:t>
      </w:r>
      <w:r>
        <w:rPr>
          <w:rFonts w:cstheme="minorHAnsi"/>
        </w:rPr>
        <w:t xml:space="preserve"> (in senso negativo) </w:t>
      </w:r>
      <w:r w:rsidRPr="00F82003">
        <w:rPr>
          <w:rFonts w:cstheme="minorHAnsi"/>
          <w:u w:val="single"/>
        </w:rPr>
        <w:t>il conferente</w:t>
      </w:r>
      <w:r>
        <w:rPr>
          <w:rFonts w:cstheme="minorHAnsi"/>
        </w:rPr>
        <w:t xml:space="preserve"> (salvo il caso di scuola della vendita dello stesso bene a più soggetti, cosa che un venditore potrebbe raggiungere anche “in proprio” conferendo il potere a più procuratori con procure distinte).</w:t>
      </w:r>
    </w:p>
    <w:p w:rsidR="00853D06" w:rsidRDefault="00853D06" w:rsidP="00AC1794">
      <w:pPr>
        <w:spacing w:after="0" w:line="240" w:lineRule="auto"/>
        <w:jc w:val="both"/>
        <w:rPr>
          <w:rFonts w:cstheme="minorHAnsi"/>
        </w:rPr>
      </w:pPr>
    </w:p>
    <w:p w:rsidR="00F82003" w:rsidRDefault="00F82003" w:rsidP="00AC1794">
      <w:pPr>
        <w:spacing w:after="0" w:line="240" w:lineRule="auto"/>
        <w:jc w:val="both"/>
        <w:rPr>
          <w:rFonts w:cstheme="minorHAnsi"/>
        </w:rPr>
      </w:pPr>
      <w:r w:rsidRPr="00D937D5">
        <w:rPr>
          <w:rFonts w:cstheme="minorHAnsi"/>
          <w:u w:val="single"/>
        </w:rPr>
        <w:t xml:space="preserve">Mi sento solo di caldeggiare, per l’ipotesi di consegna dell’originale cartaceo al conferente, di </w:t>
      </w:r>
      <w:r w:rsidRPr="00D937D5">
        <w:rPr>
          <w:rFonts w:cstheme="minorHAnsi"/>
          <w:b/>
          <w:u w:val="single"/>
        </w:rPr>
        <w:t>fare la copia conforme della procura tramite scansione dell’originale</w:t>
      </w:r>
      <w:r w:rsidRPr="00D937D5">
        <w:rPr>
          <w:rFonts w:cstheme="minorHAnsi"/>
        </w:rPr>
        <w:t xml:space="preserve"> ed aggiunta della certificazione di conformità e non creando una matrice digitale della stessa</w:t>
      </w:r>
      <w:r>
        <w:rPr>
          <w:rFonts w:cstheme="minorHAnsi"/>
        </w:rPr>
        <w:t>.</w:t>
      </w:r>
    </w:p>
    <w:p w:rsidR="00F82003" w:rsidRDefault="00D937D5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tal modo si lascerebbe traccia dell’originale ai fini di verifica della firma analogica anche in caso di distruzione del documento.</w:t>
      </w:r>
    </w:p>
    <w:p w:rsidR="00D937D5" w:rsidRDefault="00D937D5" w:rsidP="00AC1794">
      <w:pPr>
        <w:spacing w:after="0" w:line="240" w:lineRule="auto"/>
        <w:jc w:val="both"/>
        <w:rPr>
          <w:rFonts w:cstheme="minorHAnsi"/>
        </w:rPr>
      </w:pPr>
      <w:r w:rsidRPr="00D937D5">
        <w:rPr>
          <w:rFonts w:cstheme="minorHAnsi"/>
          <w:u w:val="single"/>
        </w:rPr>
        <w:t>Se invece si è abituati a fare la copia conforme creando una matrice interamente digitale</w:t>
      </w:r>
      <w:r>
        <w:rPr>
          <w:rFonts w:cstheme="minorHAnsi"/>
        </w:rPr>
        <w:t xml:space="preserve"> (cosa che ha vantaggi sul piano della velocità di creazione), </w:t>
      </w:r>
      <w:r w:rsidRPr="00D937D5">
        <w:rPr>
          <w:rFonts w:cstheme="minorHAnsi"/>
          <w:u w:val="single"/>
        </w:rPr>
        <w:t>riterrei più prudente a quel punto trattenere l’originale e custodirlo fiduciariamente</w:t>
      </w:r>
      <w:r>
        <w:rPr>
          <w:rFonts w:cstheme="minorHAnsi"/>
        </w:rPr>
        <w:t>.</w:t>
      </w:r>
    </w:p>
    <w:p w:rsidR="00481A7E" w:rsidRDefault="00481A7E" w:rsidP="00AC1794">
      <w:pPr>
        <w:spacing w:after="0" w:line="240" w:lineRule="auto"/>
        <w:jc w:val="both"/>
        <w:rPr>
          <w:rFonts w:cstheme="minorHAnsi"/>
        </w:rPr>
      </w:pPr>
    </w:p>
    <w:p w:rsidR="00D937D5" w:rsidRDefault="00D937D5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 ultimo, per quanto attiene ai rischi connessi alla circolazione di più procure identiche (un originale e le copie conformi) si rileva come tale problematica possa porsi non per tutte le tipologie di procure speciali.</w:t>
      </w:r>
    </w:p>
    <w:p w:rsidR="00D937D5" w:rsidRDefault="00D937D5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Infatti </w:t>
      </w:r>
      <w:r w:rsidRPr="00D937D5">
        <w:rPr>
          <w:rFonts w:cstheme="minorHAnsi"/>
          <w:u w:val="single"/>
        </w:rPr>
        <w:t>solo quelle suscettibili di uso fraudolento “ripetitivo” determinano un rischio</w:t>
      </w:r>
      <w:r w:rsidR="0058681F">
        <w:rPr>
          <w:rFonts w:cstheme="minorHAnsi"/>
          <w:u w:val="single"/>
        </w:rPr>
        <w:t xml:space="preserve"> effettivo</w:t>
      </w:r>
      <w:r>
        <w:rPr>
          <w:rFonts w:cstheme="minorHAnsi"/>
        </w:rPr>
        <w:t>, tra le quali di sicuro possiamo annoverare:</w:t>
      </w:r>
    </w:p>
    <w:p w:rsidR="00D937D5" w:rsidRDefault="00D937D5" w:rsidP="00D937D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procure a vendere;</w:t>
      </w:r>
    </w:p>
    <w:p w:rsidR="00D937D5" w:rsidRDefault="00D937D5" w:rsidP="00D937D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procure ad acquistare beni fungibili (un veicolo non ancora targato);</w:t>
      </w:r>
    </w:p>
    <w:p w:rsidR="0058681F" w:rsidRDefault="0058681F" w:rsidP="00D937D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procure a contrarre un mutuo ipotecario;</w:t>
      </w:r>
    </w:p>
    <w:p w:rsidR="00F82003" w:rsidRDefault="00D937D5" w:rsidP="00AC17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mentre potremmo serenamente escludere quelle fisiologicamente “</w:t>
      </w:r>
      <w:proofErr w:type="spellStart"/>
      <w:r>
        <w:rPr>
          <w:rFonts w:cstheme="minorHAnsi"/>
        </w:rPr>
        <w:t>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shot</w:t>
      </w:r>
      <w:proofErr w:type="spellEnd"/>
      <w:r>
        <w:rPr>
          <w:rFonts w:cstheme="minorHAnsi"/>
        </w:rPr>
        <w:t>”, quali, ad esempio:</w:t>
      </w:r>
    </w:p>
    <w:p w:rsidR="00D937D5" w:rsidRPr="00C85B3B" w:rsidRDefault="00D937D5" w:rsidP="00C85B3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C85B3B">
        <w:rPr>
          <w:rFonts w:cstheme="minorHAnsi"/>
        </w:rPr>
        <w:t>una procura a donare, dove il donatario è fisiologicamente identificato;</w:t>
      </w:r>
    </w:p>
    <w:p w:rsidR="00D937D5" w:rsidRDefault="00D937D5" w:rsidP="00D937D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una procura a ricevere donazione;</w:t>
      </w:r>
    </w:p>
    <w:p w:rsidR="00D937D5" w:rsidRDefault="00D937D5" w:rsidP="00D937D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una procura ad acquistare beni infungibili, come un immobile;</w:t>
      </w:r>
    </w:p>
    <w:p w:rsidR="005855E9" w:rsidRPr="00481A7E" w:rsidRDefault="00D937D5" w:rsidP="00A6599D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481A7E">
        <w:rPr>
          <w:rFonts w:cstheme="minorHAnsi"/>
        </w:rPr>
        <w:t>una procura a risolvere una donazione per mutuo consenso</w:t>
      </w:r>
      <w:r w:rsidR="00822FFF" w:rsidRPr="00481A7E">
        <w:rPr>
          <w:rFonts w:cstheme="minorHAnsi"/>
        </w:rPr>
        <w:t>.</w:t>
      </w:r>
    </w:p>
    <w:sectPr w:rsidR="005855E9" w:rsidRPr="00481A7E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A" w:rsidRDefault="00CA398A" w:rsidP="00A36672">
      <w:pPr>
        <w:spacing w:after="0" w:line="240" w:lineRule="auto"/>
      </w:pPr>
      <w:r>
        <w:separator/>
      </w:r>
    </w:p>
  </w:endnote>
  <w:endnote w:type="continuationSeparator" w:id="0">
    <w:p w:rsidR="00CA398A" w:rsidRDefault="00CA398A" w:rsidP="00A3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660297"/>
      <w:docPartObj>
        <w:docPartGallery w:val="Page Numbers (Bottom of Page)"/>
        <w:docPartUnique/>
      </w:docPartObj>
    </w:sdtPr>
    <w:sdtEndPr/>
    <w:sdtContent>
      <w:p w:rsidR="00CA398A" w:rsidRDefault="00CA398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D06">
          <w:rPr>
            <w:noProof/>
          </w:rPr>
          <w:t>4</w:t>
        </w:r>
        <w:r>
          <w:fldChar w:fldCharType="end"/>
        </w:r>
      </w:p>
    </w:sdtContent>
  </w:sdt>
  <w:p w:rsidR="00CA398A" w:rsidRDefault="00CA39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A" w:rsidRDefault="00CA398A" w:rsidP="00A36672">
      <w:pPr>
        <w:spacing w:after="0" w:line="240" w:lineRule="auto"/>
      </w:pPr>
      <w:r>
        <w:separator/>
      </w:r>
    </w:p>
  </w:footnote>
  <w:footnote w:type="continuationSeparator" w:id="0">
    <w:p w:rsidR="00CA398A" w:rsidRDefault="00CA398A" w:rsidP="00A3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062"/>
    <w:multiLevelType w:val="hybridMultilevel"/>
    <w:tmpl w:val="199CC8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25B7E"/>
    <w:multiLevelType w:val="hybridMultilevel"/>
    <w:tmpl w:val="B7885F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23394"/>
    <w:multiLevelType w:val="hybridMultilevel"/>
    <w:tmpl w:val="F2FEA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139C"/>
    <w:multiLevelType w:val="hybridMultilevel"/>
    <w:tmpl w:val="03F2D7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76CE3"/>
    <w:multiLevelType w:val="hybridMultilevel"/>
    <w:tmpl w:val="9280AD48"/>
    <w:lvl w:ilvl="0" w:tplc="0F047B8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E0E3B"/>
    <w:multiLevelType w:val="hybridMultilevel"/>
    <w:tmpl w:val="9126D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80779"/>
    <w:multiLevelType w:val="hybridMultilevel"/>
    <w:tmpl w:val="91FC1E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2273F"/>
    <w:multiLevelType w:val="hybridMultilevel"/>
    <w:tmpl w:val="68307F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D0268"/>
    <w:multiLevelType w:val="hybridMultilevel"/>
    <w:tmpl w:val="DB1C3C2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B05F7"/>
    <w:multiLevelType w:val="hybridMultilevel"/>
    <w:tmpl w:val="AD88AA40"/>
    <w:lvl w:ilvl="0" w:tplc="1FE848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43C96"/>
    <w:multiLevelType w:val="hybridMultilevel"/>
    <w:tmpl w:val="C206E9F8"/>
    <w:lvl w:ilvl="0" w:tplc="AEFC9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1C0C49"/>
    <w:multiLevelType w:val="hybridMultilevel"/>
    <w:tmpl w:val="8D1E1D6E"/>
    <w:lvl w:ilvl="0" w:tplc="662066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D620E"/>
    <w:multiLevelType w:val="hybridMultilevel"/>
    <w:tmpl w:val="6F0EDF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5526B"/>
    <w:multiLevelType w:val="hybridMultilevel"/>
    <w:tmpl w:val="5058C3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1A"/>
    <w:rsid w:val="0003411B"/>
    <w:rsid w:val="00086921"/>
    <w:rsid w:val="0012739B"/>
    <w:rsid w:val="001309A4"/>
    <w:rsid w:val="00141DAE"/>
    <w:rsid w:val="00171377"/>
    <w:rsid w:val="001B00FE"/>
    <w:rsid w:val="00210092"/>
    <w:rsid w:val="00225B6F"/>
    <w:rsid w:val="00231E57"/>
    <w:rsid w:val="0025405B"/>
    <w:rsid w:val="00284147"/>
    <w:rsid w:val="002D2D30"/>
    <w:rsid w:val="003265D4"/>
    <w:rsid w:val="00330CF7"/>
    <w:rsid w:val="00390F21"/>
    <w:rsid w:val="00422A19"/>
    <w:rsid w:val="00481A7E"/>
    <w:rsid w:val="004B5727"/>
    <w:rsid w:val="004C7B0B"/>
    <w:rsid w:val="004D211E"/>
    <w:rsid w:val="0051252E"/>
    <w:rsid w:val="0058126B"/>
    <w:rsid w:val="005855E9"/>
    <w:rsid w:val="0058681F"/>
    <w:rsid w:val="00592C55"/>
    <w:rsid w:val="005F5634"/>
    <w:rsid w:val="00635794"/>
    <w:rsid w:val="006A6795"/>
    <w:rsid w:val="006E6123"/>
    <w:rsid w:val="006F304D"/>
    <w:rsid w:val="00702F1A"/>
    <w:rsid w:val="007676E9"/>
    <w:rsid w:val="0079103B"/>
    <w:rsid w:val="007C4D48"/>
    <w:rsid w:val="007D2BD5"/>
    <w:rsid w:val="007E5ADE"/>
    <w:rsid w:val="00822FFF"/>
    <w:rsid w:val="00834374"/>
    <w:rsid w:val="00845D39"/>
    <w:rsid w:val="008535DB"/>
    <w:rsid w:val="00853D06"/>
    <w:rsid w:val="00877256"/>
    <w:rsid w:val="008D1798"/>
    <w:rsid w:val="008F0D6F"/>
    <w:rsid w:val="008F1D48"/>
    <w:rsid w:val="00916F18"/>
    <w:rsid w:val="00920091"/>
    <w:rsid w:val="009E3373"/>
    <w:rsid w:val="009E69B6"/>
    <w:rsid w:val="00A01AF8"/>
    <w:rsid w:val="00A12608"/>
    <w:rsid w:val="00A23F71"/>
    <w:rsid w:val="00A36672"/>
    <w:rsid w:val="00A63716"/>
    <w:rsid w:val="00A73BFB"/>
    <w:rsid w:val="00AC1794"/>
    <w:rsid w:val="00B0704D"/>
    <w:rsid w:val="00B3017C"/>
    <w:rsid w:val="00B35A72"/>
    <w:rsid w:val="00B6646A"/>
    <w:rsid w:val="00B73F6C"/>
    <w:rsid w:val="00BB3D1F"/>
    <w:rsid w:val="00C85B3B"/>
    <w:rsid w:val="00CA398A"/>
    <w:rsid w:val="00CE0156"/>
    <w:rsid w:val="00D42947"/>
    <w:rsid w:val="00D47521"/>
    <w:rsid w:val="00D707C7"/>
    <w:rsid w:val="00D937D5"/>
    <w:rsid w:val="00E03A5A"/>
    <w:rsid w:val="00E2354B"/>
    <w:rsid w:val="00E25E0A"/>
    <w:rsid w:val="00E94A31"/>
    <w:rsid w:val="00EA0E93"/>
    <w:rsid w:val="00F01933"/>
    <w:rsid w:val="00F01AB9"/>
    <w:rsid w:val="00F62760"/>
    <w:rsid w:val="00F667AC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7EF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6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672"/>
  </w:style>
  <w:style w:type="paragraph" w:styleId="Pidipagina">
    <w:name w:val="footer"/>
    <w:basedOn w:val="Normale"/>
    <w:link w:val="PidipaginaCarattere"/>
    <w:uiPriority w:val="99"/>
    <w:unhideWhenUsed/>
    <w:rsid w:val="00A36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672"/>
  </w:style>
  <w:style w:type="paragraph" w:styleId="Paragrafoelenco">
    <w:name w:val="List Paragraph"/>
    <w:basedOn w:val="Normale"/>
    <w:uiPriority w:val="34"/>
    <w:qFormat/>
    <w:rsid w:val="00B301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92C5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C55"/>
    <w:rPr>
      <w:b/>
      <w:bCs/>
    </w:rPr>
  </w:style>
  <w:style w:type="character" w:styleId="Enfasicorsivo">
    <w:name w:val="Emphasis"/>
    <w:basedOn w:val="Carpredefinitoparagrafo"/>
    <w:uiPriority w:val="20"/>
    <w:qFormat/>
    <w:rsid w:val="00592C5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F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4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528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5316.html" TargetMode="External"/><Relationship Id="rId12" Type="http://schemas.openxmlformats.org/officeDocument/2006/relationships/hyperlink" Target="https://www.brocardi.it/codice-penale/libro-secondo/titolo-vii/capo-iii/art4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cardi.it/codice-penale/libro-secondo/titolo-vii/capo-iii/art47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ocardi.it/codice-penale/libro-secondo/titolo-vii/capo-iii/art4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dizionario/230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2014-03-13T09:07:00Z</dcterms:created>
  <dcterms:modified xsi:type="dcterms:W3CDTF">2022-05-29T15:35:00Z</dcterms:modified>
</cp:coreProperties>
</file>