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429C" w14:textId="77777777" w:rsidR="00E914DF" w:rsidRDefault="00000000" w:rsidP="00326D05">
      <w:pPr>
        <w:pStyle w:val="Corpo"/>
        <w:jc w:val="center"/>
        <w:rPr>
          <w:rFonts w:ascii="Times New Roman" w:eastAsia="Times New Roman" w:hAnsi="Times New Roman" w:cs="Times New Roman"/>
          <w:i/>
          <w:iCs/>
          <w:sz w:val="24"/>
          <w:szCs w:val="24"/>
        </w:rPr>
      </w:pPr>
      <w:r>
        <w:rPr>
          <w:rFonts w:ascii="Times New Roman" w:hAnsi="Times New Roman"/>
          <w:i/>
          <w:iCs/>
          <w:sz w:val="24"/>
          <w:szCs w:val="24"/>
        </w:rPr>
        <w:t>LA RINUNZIA ALL’EREDITÀ E L’ERRORE SUL TITOLO DELLA DELAZIONE</w:t>
      </w:r>
    </w:p>
    <w:p w14:paraId="5C7734BC" w14:textId="77777777" w:rsidR="00E914DF" w:rsidRDefault="00000000">
      <w:pPr>
        <w:pStyle w:val="Corpo"/>
        <w:jc w:val="right"/>
        <w:rPr>
          <w:rFonts w:ascii="Times New Roman" w:eastAsia="Times New Roman" w:hAnsi="Times New Roman" w:cs="Times New Roman"/>
          <w:i/>
          <w:iCs/>
          <w:sz w:val="24"/>
          <w:szCs w:val="24"/>
        </w:rPr>
      </w:pPr>
      <w:r>
        <w:rPr>
          <w:rFonts w:ascii="Times New Roman" w:hAnsi="Times New Roman"/>
          <w:i/>
          <w:iCs/>
          <w:sz w:val="24"/>
          <w:szCs w:val="24"/>
        </w:rPr>
        <w:t>di Rosina Elsa De Rosa</w:t>
      </w:r>
    </w:p>
    <w:p w14:paraId="642EF6DF" w14:textId="77777777" w:rsidR="00E914DF" w:rsidRDefault="00E914DF">
      <w:pPr>
        <w:pStyle w:val="Corpo"/>
        <w:jc w:val="right"/>
        <w:rPr>
          <w:rFonts w:ascii="Times New Roman" w:eastAsia="Times New Roman" w:hAnsi="Times New Roman" w:cs="Times New Roman"/>
          <w:i/>
          <w:iCs/>
          <w:sz w:val="24"/>
          <w:szCs w:val="24"/>
        </w:rPr>
      </w:pPr>
    </w:p>
    <w:p w14:paraId="78C1BC66" w14:textId="27BB7DFA" w:rsidR="00E914DF" w:rsidRPr="00326D05" w:rsidRDefault="00000000">
      <w:pPr>
        <w:pStyle w:val="Corpo"/>
        <w:jc w:val="both"/>
        <w:rPr>
          <w:rFonts w:ascii="Times New Roman" w:hAnsi="Times New Roman"/>
          <w:sz w:val="24"/>
          <w:szCs w:val="24"/>
        </w:rPr>
      </w:pPr>
      <w:r>
        <w:rPr>
          <w:rFonts w:ascii="Times New Roman" w:hAnsi="Times New Roman"/>
          <w:sz w:val="24"/>
          <w:szCs w:val="24"/>
        </w:rPr>
        <w:t xml:space="preserve">Com’è noto, l’articolo 526 c.c. </w:t>
      </w:r>
      <w:r w:rsidR="00326D05">
        <w:rPr>
          <w:rFonts w:ascii="Times New Roman" w:hAnsi="Times New Roman"/>
          <w:sz w:val="24"/>
          <w:szCs w:val="24"/>
        </w:rPr>
        <w:t xml:space="preserve">– </w:t>
      </w:r>
      <w:r>
        <w:rPr>
          <w:rFonts w:ascii="Times New Roman" w:hAnsi="Times New Roman"/>
          <w:sz w:val="24"/>
          <w:szCs w:val="24"/>
        </w:rPr>
        <w:t xml:space="preserve">analogamente a quanto prescritto in tema di accettazione di eredità (art. 482 c.c.) </w:t>
      </w:r>
      <w:r w:rsidR="00326D05">
        <w:rPr>
          <w:rFonts w:ascii="Times New Roman" w:hAnsi="Times New Roman"/>
          <w:sz w:val="24"/>
          <w:szCs w:val="24"/>
        </w:rPr>
        <w:t>–</w:t>
      </w:r>
      <w:r>
        <w:rPr>
          <w:rFonts w:ascii="Times New Roman" w:hAnsi="Times New Roman"/>
          <w:sz w:val="24"/>
          <w:szCs w:val="24"/>
        </w:rPr>
        <w:t xml:space="preserve"> consente che la rinunzia possa essere impugnata solo per violenza o per dolo. </w:t>
      </w:r>
    </w:p>
    <w:p w14:paraId="3B658AC5" w14:textId="51CBDC98" w:rsidR="00E914DF" w:rsidRDefault="00000000">
      <w:pPr>
        <w:pStyle w:val="Corpo"/>
        <w:jc w:val="both"/>
        <w:rPr>
          <w:rFonts w:ascii="Times New Roman" w:eastAsia="Times New Roman" w:hAnsi="Times New Roman" w:cs="Times New Roman"/>
          <w:sz w:val="24"/>
          <w:szCs w:val="24"/>
        </w:rPr>
      </w:pPr>
      <w:r>
        <w:rPr>
          <w:rFonts w:ascii="Times New Roman" w:hAnsi="Times New Roman"/>
          <w:sz w:val="24"/>
          <w:szCs w:val="24"/>
        </w:rPr>
        <w:t xml:space="preserve">L’espressa esclusione della rilevanza dell’errore-vizio, quale causa di annullamento del negozio </w:t>
      </w:r>
      <w:r>
        <w:rPr>
          <w:rFonts w:ascii="Times New Roman" w:hAnsi="Times New Roman"/>
          <w:i/>
          <w:iCs/>
          <w:sz w:val="24"/>
          <w:szCs w:val="24"/>
        </w:rPr>
        <w:t>de quo</w:t>
      </w:r>
      <w:r>
        <w:rPr>
          <w:rFonts w:ascii="Times New Roman" w:hAnsi="Times New Roman"/>
          <w:sz w:val="24"/>
          <w:szCs w:val="24"/>
        </w:rPr>
        <w:t xml:space="preserve">, deve indurre l’operatore del diritto ad interrogarsi sulla </w:t>
      </w:r>
      <w:r>
        <w:rPr>
          <w:rFonts w:ascii="Times New Roman" w:hAnsi="Times New Roman"/>
          <w:i/>
          <w:iCs/>
          <w:sz w:val="24"/>
          <w:szCs w:val="24"/>
        </w:rPr>
        <w:t xml:space="preserve">ratio </w:t>
      </w:r>
      <w:r>
        <w:rPr>
          <w:rFonts w:ascii="Times New Roman" w:hAnsi="Times New Roman"/>
          <w:sz w:val="24"/>
          <w:szCs w:val="24"/>
        </w:rPr>
        <w:t>dell’istituto, al fine di verificare se l'errore sul titolo della delazione </w:t>
      </w:r>
      <w:r w:rsidR="00663648">
        <w:rPr>
          <w:rFonts w:ascii="Times New Roman" w:hAnsi="Times New Roman"/>
          <w:sz w:val="24"/>
          <w:szCs w:val="24"/>
        </w:rPr>
        <w:t>possa</w:t>
      </w:r>
      <w:r w:rsidR="00326D05">
        <w:rPr>
          <w:rFonts w:ascii="Times New Roman" w:hAnsi="Times New Roman"/>
          <w:sz w:val="24"/>
          <w:szCs w:val="24"/>
        </w:rPr>
        <w:t xml:space="preserve"> </w:t>
      </w:r>
      <w:r w:rsidR="00663648">
        <w:rPr>
          <w:rFonts w:ascii="Times New Roman" w:hAnsi="Times New Roman"/>
          <w:sz w:val="24"/>
          <w:szCs w:val="24"/>
        </w:rPr>
        <w:t>configurare</w:t>
      </w:r>
      <w:r>
        <w:rPr>
          <w:rFonts w:ascii="Times New Roman" w:hAnsi="Times New Roman"/>
          <w:sz w:val="24"/>
          <w:szCs w:val="24"/>
        </w:rPr>
        <w:t xml:space="preserve"> un’ipotesi di errore-ostativo, che dottrina e giurisprudenza non dubitano rilevare ai sensi e per gli effetti dell’articolo in commento.</w:t>
      </w:r>
    </w:p>
    <w:p w14:paraId="418968D4" w14:textId="77777777" w:rsidR="00E914DF" w:rsidRDefault="00000000">
      <w:pPr>
        <w:pStyle w:val="Corpo"/>
        <w:jc w:val="both"/>
        <w:rPr>
          <w:rFonts w:ascii="Times New Roman" w:eastAsia="Times New Roman" w:hAnsi="Times New Roman" w:cs="Times New Roman"/>
          <w:sz w:val="24"/>
          <w:szCs w:val="24"/>
        </w:rPr>
      </w:pPr>
      <w:r>
        <w:rPr>
          <w:rFonts w:ascii="Times New Roman" w:hAnsi="Times New Roman"/>
          <w:sz w:val="24"/>
          <w:szCs w:val="24"/>
        </w:rPr>
        <w:t>Orbene, i dubbi interpretativi si acuiscono se si osserva che, mentre il secondo comma dell’articolo 483 c.c., accenna ad alcuni degli effetti della scoperta di un testamento del quale non si aveva notizia al tempo dell’accettazione, gli articolo 519 ss. c.c. nulla prevedono nel caso di rinunzia all’eredità.</w:t>
      </w:r>
    </w:p>
    <w:p w14:paraId="4F876EDF" w14:textId="08631083" w:rsidR="00E914DF" w:rsidRDefault="00000000">
      <w:pPr>
        <w:pStyle w:val="Corpo"/>
        <w:jc w:val="both"/>
      </w:pPr>
      <w:r>
        <w:rPr>
          <w:rFonts w:ascii="Times New Roman" w:hAnsi="Times New Roman"/>
          <w:sz w:val="24"/>
          <w:szCs w:val="24"/>
        </w:rPr>
        <w:t xml:space="preserve">Dunque, ben potrebbe accadere che Tizio - ritenendo di essere delato </w:t>
      </w:r>
      <w:r>
        <w:rPr>
          <w:rFonts w:ascii="Times New Roman" w:hAnsi="Times New Roman"/>
          <w:i/>
          <w:iCs/>
          <w:sz w:val="24"/>
          <w:szCs w:val="24"/>
        </w:rPr>
        <w:t>ex lege -</w:t>
      </w:r>
      <w:r>
        <w:rPr>
          <w:rFonts w:ascii="Times New Roman" w:hAnsi="Times New Roman"/>
          <w:sz w:val="24"/>
          <w:szCs w:val="24"/>
        </w:rPr>
        <w:t xml:space="preserve"> rinunzi all’eredità e che successivamente si scopra l’esistenza di un testamento che lo designava unico erede o lo istituiva in una quota diversa. Come incide tale sopravvenienza sull</w:t>
      </w:r>
      <w:r w:rsidR="00326D05">
        <w:rPr>
          <w:rFonts w:ascii="Times New Roman" w:hAnsi="Times New Roman"/>
          <w:sz w:val="24"/>
          <w:szCs w:val="24"/>
        </w:rPr>
        <w:t>’</w:t>
      </w:r>
      <w:r>
        <w:rPr>
          <w:rFonts w:ascii="Times New Roman" w:hAnsi="Times New Roman"/>
          <w:sz w:val="24"/>
          <w:szCs w:val="24"/>
        </w:rPr>
        <w:t>avvenuta rinunzia? É ammesso un “diritto al ripensamento”?</w:t>
      </w:r>
    </w:p>
    <w:sectPr w:rsidR="00E914D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DCAB" w14:textId="77777777" w:rsidR="00FC4C26" w:rsidRDefault="00FC4C26">
      <w:r>
        <w:separator/>
      </w:r>
    </w:p>
  </w:endnote>
  <w:endnote w:type="continuationSeparator" w:id="0">
    <w:p w14:paraId="38CC20DF" w14:textId="77777777" w:rsidR="00FC4C26" w:rsidRDefault="00FC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FEF4" w14:textId="77777777" w:rsidR="00E914DF" w:rsidRDefault="00E914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BFB7" w14:textId="77777777" w:rsidR="00FC4C26" w:rsidRDefault="00FC4C26">
      <w:r>
        <w:separator/>
      </w:r>
    </w:p>
  </w:footnote>
  <w:footnote w:type="continuationSeparator" w:id="0">
    <w:p w14:paraId="3D59AF05" w14:textId="77777777" w:rsidR="00FC4C26" w:rsidRDefault="00FC4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0C7B" w14:textId="77777777" w:rsidR="00E914DF" w:rsidRDefault="00E914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DF"/>
    <w:rsid w:val="002118C7"/>
    <w:rsid w:val="00326D05"/>
    <w:rsid w:val="00663648"/>
    <w:rsid w:val="00E914DF"/>
    <w:rsid w:val="00FC4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29BB2F8"/>
  <w15:docId w15:val="{D833CC6E-C83B-AB4C-8CAA-2FF45877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ROSINA ELSA DE ROSA</cp:lastModifiedBy>
  <cp:revision>3</cp:revision>
  <dcterms:created xsi:type="dcterms:W3CDTF">2022-08-01T20:45:00Z</dcterms:created>
  <dcterms:modified xsi:type="dcterms:W3CDTF">2022-08-02T10:37:00Z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-1045574708</vt:i4>
  </property>
  <property fmtid="{D5CDD505-2E9C-101B-9397-08002B2CF9AE}" pid="3" name="_NewReviewCycle">
    <vt:lpwstr/>
  </property>
  <property fmtid="{D5CDD505-2E9C-101B-9397-08002B2CF9AE}" pid="4" name="_EmailSubject">
    <vt:lpwstr>Aggiornamento sito associazione</vt:lpwstr>
  </property>
  <property fmtid="{D5CDD505-2E9C-101B-9397-08002B2CF9AE}" pid="5" name="_AuthorEmail">
    <vt:lpwstr>notaiocamocardi@notai-associati.com</vt:lpwstr>
  </property>
  <property fmtid="{D5CDD505-2E9C-101B-9397-08002B2CF9AE}" pid="6" name="_AuthorEmailDisplayName">
    <vt:lpwstr>notaiocamocardi</vt:lpwstr>
  </property>
</Properties>
</file>